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40" w:rsidRDefault="00ED7740" w:rsidP="00740A9D">
      <w:pPr>
        <w:spacing w:line="240" w:lineRule="auto"/>
        <w:jc w:val="both"/>
        <w:rPr>
          <w:rFonts w:ascii="Times New Roman" w:hAnsi="Times New Roman"/>
          <w:b/>
          <w:sz w:val="24"/>
          <w:szCs w:val="24"/>
          <w:lang w:val="en-US"/>
        </w:rPr>
      </w:pPr>
      <w:r>
        <w:rPr>
          <w:rFonts w:ascii="Times New Roman" w:hAnsi="Times New Roman"/>
          <w:b/>
          <w:sz w:val="24"/>
          <w:szCs w:val="24"/>
          <w:lang w:val="en-US"/>
        </w:rPr>
        <w:t>Research Proposal</w:t>
      </w:r>
    </w:p>
    <w:p w:rsidR="00ED7740" w:rsidRDefault="00ED7740" w:rsidP="00740A9D">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Candidate name: Nefeli Lefkopoulou </w:t>
      </w:r>
    </w:p>
    <w:p w:rsidR="00ED7740" w:rsidRDefault="00ED7740" w:rsidP="00740A9D">
      <w:pPr>
        <w:spacing w:line="240" w:lineRule="auto"/>
        <w:jc w:val="both"/>
        <w:rPr>
          <w:rFonts w:ascii="Times New Roman" w:hAnsi="Times New Roman"/>
          <w:b/>
          <w:sz w:val="24"/>
          <w:szCs w:val="24"/>
          <w:lang w:val="en-US"/>
        </w:rPr>
      </w:pPr>
    </w:p>
    <w:p w:rsidR="00ED7740" w:rsidRDefault="00ED7740" w:rsidP="00740A9D">
      <w:pPr>
        <w:spacing w:line="360" w:lineRule="auto"/>
        <w:jc w:val="both"/>
        <w:rPr>
          <w:rFonts w:ascii="Times New Roman" w:hAnsi="Times New Roman"/>
          <w:b/>
          <w:sz w:val="24"/>
          <w:szCs w:val="24"/>
          <w:lang w:val="en-US"/>
        </w:rPr>
      </w:pPr>
    </w:p>
    <w:p w:rsidR="00ED7740" w:rsidRDefault="00ED7740" w:rsidP="00740A9D">
      <w:pPr>
        <w:spacing w:line="360" w:lineRule="auto"/>
        <w:jc w:val="center"/>
        <w:rPr>
          <w:rFonts w:ascii="Times New Roman" w:hAnsi="Times New Roman"/>
          <w:b/>
          <w:sz w:val="28"/>
          <w:szCs w:val="28"/>
          <w:lang w:val="en-US"/>
        </w:rPr>
      </w:pPr>
      <w:r w:rsidRPr="009848FE">
        <w:rPr>
          <w:rFonts w:ascii="Times New Roman" w:hAnsi="Times New Roman"/>
          <w:b/>
          <w:sz w:val="28"/>
          <w:szCs w:val="28"/>
          <w:lang w:val="en-US"/>
        </w:rPr>
        <w:t>Defending democracy ‘beyond the state’: Towards a Europeanization of national militant restrictions dealing with extremism?</w:t>
      </w:r>
    </w:p>
    <w:p w:rsidR="00ED7740" w:rsidRPr="009848FE" w:rsidRDefault="00ED7740" w:rsidP="00740A9D">
      <w:pPr>
        <w:spacing w:line="360" w:lineRule="auto"/>
        <w:jc w:val="center"/>
        <w:rPr>
          <w:rFonts w:ascii="Times New Roman" w:hAnsi="Times New Roman"/>
          <w:b/>
          <w:sz w:val="28"/>
          <w:szCs w:val="28"/>
          <w:lang w:val="en-US"/>
        </w:rPr>
      </w:pPr>
    </w:p>
    <w:p w:rsidR="00ED7740" w:rsidRPr="00093554" w:rsidRDefault="00ED7740" w:rsidP="00740A9D">
      <w:pPr>
        <w:spacing w:line="360" w:lineRule="auto"/>
        <w:jc w:val="both"/>
        <w:rPr>
          <w:rFonts w:ascii="Times New Roman" w:hAnsi="Times New Roman"/>
          <w:b/>
          <w:sz w:val="24"/>
          <w:szCs w:val="24"/>
          <w:lang w:val="en-US"/>
        </w:rPr>
      </w:pPr>
      <w:r w:rsidRPr="00093554">
        <w:rPr>
          <w:rFonts w:ascii="Times New Roman" w:hAnsi="Times New Roman"/>
          <w:b/>
          <w:sz w:val="24"/>
          <w:szCs w:val="24"/>
          <w:lang w:val="en-US"/>
        </w:rPr>
        <w:t>Abstract</w:t>
      </w:r>
    </w:p>
    <w:p w:rsidR="00ED7740" w:rsidRPr="007726A6" w:rsidRDefault="00ED7740" w:rsidP="00740A9D">
      <w:pPr>
        <w:spacing w:line="360" w:lineRule="auto"/>
        <w:jc w:val="both"/>
        <w:rPr>
          <w:rFonts w:ascii="Times New Roman" w:hAnsi="Times New Roman"/>
          <w:sz w:val="24"/>
          <w:szCs w:val="24"/>
          <w:lang w:val="en-US"/>
        </w:rPr>
      </w:pPr>
      <w:r w:rsidRPr="00093554">
        <w:rPr>
          <w:rFonts w:ascii="Times New Roman" w:hAnsi="Times New Roman"/>
          <w:sz w:val="24"/>
          <w:szCs w:val="24"/>
          <w:lang w:val="en-US"/>
        </w:rPr>
        <w:t>Academic literature on defending democracy tends to adopt a national state approach</w:t>
      </w:r>
      <w:r>
        <w:rPr>
          <w:rFonts w:ascii="Times New Roman" w:hAnsi="Times New Roman"/>
          <w:sz w:val="24"/>
          <w:szCs w:val="24"/>
          <w:lang w:val="en-US"/>
        </w:rPr>
        <w:t>,</w:t>
      </w:r>
      <w:r w:rsidRPr="00093554">
        <w:rPr>
          <w:rFonts w:ascii="Times New Roman" w:hAnsi="Times New Roman"/>
          <w:sz w:val="24"/>
          <w:szCs w:val="24"/>
          <w:lang w:val="en-US"/>
        </w:rPr>
        <w:t xml:space="preserve"> without examining the possible horizontal interstate reactions or the dialogue between national and European defensiveness. Given the European political community deepening, it remains important to examine how defending democracy can be enforced ‘beyond the state’. My research project will feature a comparative study of the impact European Union politics (the so called Europeani</w:t>
      </w:r>
      <w:r>
        <w:rPr>
          <w:rFonts w:ascii="Times New Roman" w:hAnsi="Times New Roman"/>
          <w:sz w:val="24"/>
          <w:szCs w:val="24"/>
          <w:lang w:val="en-US"/>
        </w:rPr>
        <w:t>z</w:t>
      </w:r>
      <w:r w:rsidRPr="00093554">
        <w:rPr>
          <w:rFonts w:ascii="Times New Roman" w:hAnsi="Times New Roman"/>
          <w:sz w:val="24"/>
          <w:szCs w:val="24"/>
          <w:lang w:val="en-US"/>
        </w:rPr>
        <w:t>ation) have on national militant restrictions and, in reverse, a c</w:t>
      </w:r>
      <w:r>
        <w:rPr>
          <w:rFonts w:ascii="Times New Roman" w:hAnsi="Times New Roman"/>
          <w:sz w:val="24"/>
          <w:szCs w:val="24"/>
          <w:lang w:val="en-US"/>
        </w:rPr>
        <w:t xml:space="preserve">omparative study among national </w:t>
      </w:r>
      <w:r w:rsidRPr="00093554">
        <w:rPr>
          <w:rFonts w:ascii="Times New Roman" w:hAnsi="Times New Roman"/>
          <w:sz w:val="24"/>
          <w:szCs w:val="24"/>
          <w:lang w:val="en-US"/>
        </w:rPr>
        <w:t>crisis moments</w:t>
      </w:r>
      <w:r>
        <w:rPr>
          <w:rFonts w:ascii="Times New Roman" w:hAnsi="Times New Roman"/>
          <w:sz w:val="24"/>
          <w:szCs w:val="24"/>
          <w:lang w:val="en-US"/>
        </w:rPr>
        <w:t xml:space="preserve">, capable of triggering an </w:t>
      </w:r>
      <w:r w:rsidRPr="00093554">
        <w:rPr>
          <w:rFonts w:ascii="Times New Roman" w:hAnsi="Times New Roman"/>
          <w:sz w:val="24"/>
          <w:szCs w:val="24"/>
          <w:lang w:val="en-US"/>
        </w:rPr>
        <w:t xml:space="preserve">EU </w:t>
      </w:r>
      <w:r>
        <w:rPr>
          <w:rFonts w:ascii="Times New Roman" w:hAnsi="Times New Roman"/>
          <w:sz w:val="24"/>
          <w:szCs w:val="24"/>
          <w:lang w:val="en-US"/>
        </w:rPr>
        <w:t xml:space="preserve">intervention when it comes to </w:t>
      </w:r>
      <w:r w:rsidRPr="00093554">
        <w:rPr>
          <w:rFonts w:ascii="Times New Roman" w:hAnsi="Times New Roman"/>
          <w:sz w:val="24"/>
          <w:szCs w:val="24"/>
          <w:lang w:val="en-US"/>
        </w:rPr>
        <w:t>combating extreme right parties. The project will similarly attempt to explain</w:t>
      </w:r>
      <w:r>
        <w:rPr>
          <w:rFonts w:ascii="Times New Roman" w:hAnsi="Times New Roman"/>
          <w:sz w:val="24"/>
          <w:szCs w:val="24"/>
          <w:lang w:val="en-US"/>
        </w:rPr>
        <w:t>,</w:t>
      </w:r>
      <w:r w:rsidRPr="00136736">
        <w:rPr>
          <w:rFonts w:ascii="Times New Roman" w:hAnsi="Times New Roman"/>
          <w:sz w:val="24"/>
          <w:szCs w:val="24"/>
          <w:lang w:val="en-US"/>
        </w:rPr>
        <w:t xml:space="preserve"> </w:t>
      </w:r>
      <w:r w:rsidRPr="00093554">
        <w:rPr>
          <w:rFonts w:ascii="Times New Roman" w:hAnsi="Times New Roman"/>
          <w:sz w:val="24"/>
          <w:szCs w:val="24"/>
          <w:lang w:val="en-US"/>
        </w:rPr>
        <w:t>in a two way process</w:t>
      </w:r>
      <w:r>
        <w:rPr>
          <w:rFonts w:ascii="Times New Roman" w:hAnsi="Times New Roman"/>
          <w:sz w:val="24"/>
          <w:szCs w:val="24"/>
          <w:lang w:val="en-US"/>
        </w:rPr>
        <w:t>,</w:t>
      </w:r>
      <w:r w:rsidRPr="00093554">
        <w:rPr>
          <w:rFonts w:ascii="Times New Roman" w:hAnsi="Times New Roman"/>
          <w:sz w:val="24"/>
          <w:szCs w:val="24"/>
          <w:lang w:val="en-US"/>
        </w:rPr>
        <w:t xml:space="preserve"> why the level of Europeani</w:t>
      </w:r>
      <w:r>
        <w:rPr>
          <w:rFonts w:ascii="Times New Roman" w:hAnsi="Times New Roman"/>
          <w:sz w:val="24"/>
          <w:szCs w:val="24"/>
          <w:lang w:val="en-US"/>
        </w:rPr>
        <w:t>z</w:t>
      </w:r>
      <w:r w:rsidRPr="00093554">
        <w:rPr>
          <w:rFonts w:ascii="Times New Roman" w:hAnsi="Times New Roman"/>
          <w:sz w:val="24"/>
          <w:szCs w:val="24"/>
          <w:lang w:val="en-US"/>
        </w:rPr>
        <w:t>ation is stronger in some cases and how the depth of EU integration matters</w:t>
      </w:r>
      <w:r>
        <w:rPr>
          <w:rFonts w:ascii="Times New Roman" w:hAnsi="Times New Roman"/>
          <w:sz w:val="24"/>
          <w:szCs w:val="24"/>
          <w:lang w:val="en-US"/>
        </w:rPr>
        <w:t xml:space="preserve"> </w:t>
      </w:r>
      <w:r w:rsidRPr="00093554">
        <w:rPr>
          <w:rFonts w:ascii="Times New Roman" w:hAnsi="Times New Roman"/>
          <w:sz w:val="24"/>
          <w:szCs w:val="24"/>
          <w:lang w:val="en-US"/>
        </w:rPr>
        <w:t>to</w:t>
      </w:r>
      <w:r>
        <w:rPr>
          <w:rFonts w:ascii="Times New Roman" w:hAnsi="Times New Roman"/>
          <w:sz w:val="24"/>
          <w:szCs w:val="24"/>
          <w:lang w:val="en-US"/>
        </w:rPr>
        <w:t xml:space="preserve"> </w:t>
      </w:r>
      <w:r w:rsidRPr="00093554">
        <w:rPr>
          <w:rFonts w:ascii="Times New Roman" w:hAnsi="Times New Roman"/>
          <w:sz w:val="24"/>
          <w:szCs w:val="24"/>
          <w:lang w:val="en-US"/>
        </w:rPr>
        <w:t xml:space="preserve">Member States to adhere to </w:t>
      </w:r>
      <w:r>
        <w:rPr>
          <w:rFonts w:ascii="Times New Roman" w:hAnsi="Times New Roman"/>
          <w:sz w:val="24"/>
          <w:szCs w:val="24"/>
          <w:lang w:val="en-US"/>
        </w:rPr>
        <w:t xml:space="preserve">the </w:t>
      </w:r>
      <w:r w:rsidRPr="00093554">
        <w:rPr>
          <w:rFonts w:ascii="Times New Roman" w:hAnsi="Times New Roman"/>
          <w:sz w:val="24"/>
          <w:szCs w:val="24"/>
          <w:lang w:val="en-US"/>
        </w:rPr>
        <w:t>EU community of values.</w:t>
      </w:r>
    </w:p>
    <w:p w:rsidR="00ED7740" w:rsidRDefault="00ED7740" w:rsidP="00740A9D">
      <w:pPr>
        <w:spacing w:line="360" w:lineRule="auto"/>
        <w:jc w:val="both"/>
        <w:rPr>
          <w:rFonts w:ascii="Times New Roman" w:hAnsi="Times New Roman"/>
          <w:b/>
          <w:sz w:val="24"/>
          <w:szCs w:val="24"/>
          <w:lang w:val="en-US"/>
        </w:rPr>
      </w:pPr>
    </w:p>
    <w:p w:rsidR="00ED7740" w:rsidRPr="00045C4C" w:rsidRDefault="00ED7740" w:rsidP="00740A9D">
      <w:pPr>
        <w:spacing w:line="360" w:lineRule="auto"/>
        <w:jc w:val="both"/>
        <w:rPr>
          <w:rFonts w:ascii="Times New Roman" w:hAnsi="Times New Roman"/>
          <w:b/>
          <w:sz w:val="24"/>
          <w:szCs w:val="24"/>
          <w:lang w:val="en-US"/>
        </w:rPr>
      </w:pPr>
      <w:r w:rsidRPr="00045C4C">
        <w:rPr>
          <w:rFonts w:ascii="Times New Roman" w:hAnsi="Times New Roman"/>
          <w:b/>
          <w:sz w:val="24"/>
          <w:szCs w:val="24"/>
          <w:lang w:val="en-US"/>
        </w:rPr>
        <w:t xml:space="preserve">Introduction </w:t>
      </w:r>
      <w:r>
        <w:rPr>
          <w:rFonts w:ascii="Times New Roman" w:hAnsi="Times New Roman"/>
          <w:b/>
          <w:sz w:val="24"/>
          <w:szCs w:val="24"/>
          <w:lang w:val="en-US"/>
        </w:rPr>
        <w:t xml:space="preserve">and objectives of research project </w:t>
      </w:r>
    </w:p>
    <w:p w:rsidR="00ED7740" w:rsidRPr="00045C4C" w:rsidRDefault="00ED7740" w:rsidP="00740A9D">
      <w:pPr>
        <w:spacing w:line="360" w:lineRule="auto"/>
        <w:jc w:val="both"/>
        <w:rPr>
          <w:rFonts w:ascii="Times New Roman" w:hAnsi="Times New Roman"/>
          <w:sz w:val="24"/>
          <w:szCs w:val="24"/>
          <w:lang w:val="en-US"/>
        </w:rPr>
      </w:pPr>
      <w:r w:rsidRPr="00045C4C">
        <w:rPr>
          <w:rFonts w:ascii="Times New Roman" w:hAnsi="Times New Roman"/>
          <w:sz w:val="24"/>
          <w:szCs w:val="24"/>
          <w:lang w:val="en-US"/>
        </w:rPr>
        <w:t xml:space="preserve">The rise of extreme right parties has been a significant </w:t>
      </w:r>
      <w:r>
        <w:rPr>
          <w:rFonts w:ascii="Times New Roman" w:hAnsi="Times New Roman"/>
          <w:sz w:val="24"/>
          <w:szCs w:val="24"/>
          <w:lang w:val="en-US"/>
        </w:rPr>
        <w:t>development</w:t>
      </w:r>
      <w:r w:rsidRPr="00045C4C">
        <w:rPr>
          <w:rFonts w:ascii="Times New Roman" w:hAnsi="Times New Roman"/>
          <w:sz w:val="24"/>
          <w:szCs w:val="24"/>
          <w:lang w:val="en-US"/>
        </w:rPr>
        <w:t xml:space="preserve"> in </w:t>
      </w:r>
      <w:r>
        <w:rPr>
          <w:rFonts w:ascii="Times New Roman" w:hAnsi="Times New Roman"/>
          <w:sz w:val="24"/>
          <w:szCs w:val="24"/>
          <w:lang w:val="en-US"/>
        </w:rPr>
        <w:t>contemporary</w:t>
      </w:r>
      <w:r w:rsidRPr="00045C4C">
        <w:rPr>
          <w:rFonts w:ascii="Times New Roman" w:hAnsi="Times New Roman"/>
          <w:sz w:val="24"/>
          <w:szCs w:val="24"/>
          <w:lang w:val="en-US"/>
        </w:rPr>
        <w:t xml:space="preserve"> </w:t>
      </w:r>
      <w:r>
        <w:rPr>
          <w:rFonts w:ascii="Times New Roman" w:hAnsi="Times New Roman"/>
          <w:sz w:val="24"/>
          <w:szCs w:val="24"/>
          <w:lang w:val="en-US"/>
        </w:rPr>
        <w:t>w</w:t>
      </w:r>
      <w:r w:rsidRPr="00045C4C">
        <w:rPr>
          <w:rFonts w:ascii="Times New Roman" w:hAnsi="Times New Roman"/>
          <w:sz w:val="24"/>
          <w:szCs w:val="24"/>
          <w:lang w:val="en-US"/>
        </w:rPr>
        <w:t>est</w:t>
      </w:r>
      <w:r>
        <w:rPr>
          <w:rFonts w:ascii="Times New Roman" w:hAnsi="Times New Roman"/>
          <w:sz w:val="24"/>
          <w:szCs w:val="24"/>
          <w:lang w:val="en-US"/>
        </w:rPr>
        <w:t>ern</w:t>
      </w:r>
      <w:r w:rsidRPr="00045C4C">
        <w:rPr>
          <w:rFonts w:ascii="Times New Roman" w:hAnsi="Times New Roman"/>
          <w:sz w:val="24"/>
          <w:szCs w:val="24"/>
          <w:lang w:val="en-US"/>
        </w:rPr>
        <w:t xml:space="preserve"> European politics and </w:t>
      </w:r>
      <w:r>
        <w:rPr>
          <w:rFonts w:ascii="Times New Roman" w:hAnsi="Times New Roman"/>
          <w:sz w:val="24"/>
          <w:szCs w:val="24"/>
          <w:lang w:val="en-US"/>
        </w:rPr>
        <w:t xml:space="preserve">its </w:t>
      </w:r>
      <w:r w:rsidRPr="00045C4C">
        <w:rPr>
          <w:rFonts w:ascii="Times New Roman" w:hAnsi="Times New Roman"/>
          <w:sz w:val="24"/>
          <w:szCs w:val="24"/>
          <w:lang w:val="en-US"/>
        </w:rPr>
        <w:t>progression risks</w:t>
      </w:r>
      <w:r>
        <w:rPr>
          <w:rFonts w:ascii="Times New Roman" w:hAnsi="Times New Roman"/>
          <w:sz w:val="24"/>
          <w:szCs w:val="24"/>
          <w:lang w:val="en-US"/>
        </w:rPr>
        <w:t>,</w:t>
      </w:r>
      <w:r w:rsidRPr="00045C4C">
        <w:rPr>
          <w:rFonts w:ascii="Times New Roman" w:hAnsi="Times New Roman"/>
          <w:sz w:val="24"/>
          <w:szCs w:val="24"/>
          <w:lang w:val="en-US"/>
        </w:rPr>
        <w:t xml:space="preserve"> becoming more important </w:t>
      </w:r>
      <w:r>
        <w:rPr>
          <w:rFonts w:ascii="Times New Roman" w:hAnsi="Times New Roman"/>
          <w:sz w:val="24"/>
          <w:szCs w:val="24"/>
          <w:lang w:val="en-US"/>
        </w:rPr>
        <w:t xml:space="preserve">when linked to </w:t>
      </w:r>
      <w:r w:rsidRPr="00045C4C">
        <w:rPr>
          <w:rFonts w:ascii="Times New Roman" w:hAnsi="Times New Roman"/>
          <w:sz w:val="24"/>
          <w:szCs w:val="24"/>
          <w:lang w:val="en-US"/>
        </w:rPr>
        <w:t>the economic crisis that traverses Europe. Nowhere does this seem to be more visible than within the European Union</w:t>
      </w:r>
      <w:r>
        <w:rPr>
          <w:rFonts w:ascii="Times New Roman" w:hAnsi="Times New Roman"/>
          <w:sz w:val="24"/>
          <w:szCs w:val="24"/>
          <w:lang w:val="en-US"/>
        </w:rPr>
        <w:t>,</w:t>
      </w:r>
      <w:r w:rsidRPr="00045C4C">
        <w:rPr>
          <w:rFonts w:ascii="Times New Roman" w:hAnsi="Times New Roman"/>
          <w:sz w:val="24"/>
          <w:szCs w:val="24"/>
          <w:lang w:val="en-US"/>
        </w:rPr>
        <w:t xml:space="preserve"> where the reforms being put forward by different governments are causing much popular discontent and are </w:t>
      </w:r>
      <w:r>
        <w:rPr>
          <w:rFonts w:ascii="Times New Roman" w:hAnsi="Times New Roman"/>
          <w:sz w:val="24"/>
          <w:szCs w:val="24"/>
          <w:lang w:val="en-US"/>
        </w:rPr>
        <w:t xml:space="preserve">also </w:t>
      </w:r>
      <w:r w:rsidRPr="00045C4C">
        <w:rPr>
          <w:rFonts w:ascii="Times New Roman" w:hAnsi="Times New Roman"/>
          <w:sz w:val="24"/>
          <w:szCs w:val="24"/>
          <w:lang w:val="en-US"/>
        </w:rPr>
        <w:t xml:space="preserve">empowering formerly outsider political groups. </w:t>
      </w:r>
      <w:r>
        <w:rPr>
          <w:rFonts w:ascii="Times New Roman" w:hAnsi="Times New Roman"/>
          <w:sz w:val="24"/>
          <w:szCs w:val="24"/>
          <w:lang w:val="en-US"/>
        </w:rPr>
        <w:t>Several</w:t>
      </w:r>
      <w:r w:rsidRPr="00045C4C">
        <w:rPr>
          <w:rFonts w:ascii="Times New Roman" w:hAnsi="Times New Roman"/>
          <w:sz w:val="24"/>
          <w:szCs w:val="24"/>
          <w:lang w:val="en-US"/>
        </w:rPr>
        <w:t xml:space="preserve"> texts attempt to trace the origins of these parties’ appearance, to explain the causes of their rise</w:t>
      </w:r>
      <w:r>
        <w:rPr>
          <w:rFonts w:ascii="Times New Roman" w:hAnsi="Times New Roman"/>
          <w:sz w:val="24"/>
          <w:szCs w:val="24"/>
          <w:lang w:val="en-US"/>
        </w:rPr>
        <w:t>,</w:t>
      </w:r>
      <w:r w:rsidRPr="00045C4C">
        <w:rPr>
          <w:rFonts w:ascii="Times New Roman" w:hAnsi="Times New Roman"/>
          <w:sz w:val="24"/>
          <w:szCs w:val="24"/>
          <w:lang w:val="en-US"/>
        </w:rPr>
        <w:t xml:space="preserve"> a</w:t>
      </w:r>
      <w:r>
        <w:rPr>
          <w:rFonts w:ascii="Times New Roman" w:hAnsi="Times New Roman"/>
          <w:sz w:val="24"/>
          <w:szCs w:val="24"/>
          <w:lang w:val="en-US"/>
        </w:rPr>
        <w:t>s well as</w:t>
      </w:r>
      <w:r w:rsidRPr="00045C4C">
        <w:rPr>
          <w:rFonts w:ascii="Times New Roman" w:hAnsi="Times New Roman"/>
          <w:sz w:val="24"/>
          <w:szCs w:val="24"/>
          <w:lang w:val="en-US"/>
        </w:rPr>
        <w:t xml:space="preserve"> to predict their evolution. Although this phenomenon has captured the attention of academic interest, the question concerning the way in which institutional and legal mechanisms should be designed</w:t>
      </w:r>
      <w:r>
        <w:rPr>
          <w:rFonts w:ascii="Times New Roman" w:hAnsi="Times New Roman"/>
          <w:sz w:val="24"/>
          <w:szCs w:val="24"/>
          <w:lang w:val="en-US"/>
        </w:rPr>
        <w:t>,</w:t>
      </w:r>
      <w:r w:rsidRPr="00045C4C">
        <w:rPr>
          <w:rFonts w:ascii="Times New Roman" w:hAnsi="Times New Roman"/>
          <w:sz w:val="24"/>
          <w:szCs w:val="24"/>
          <w:lang w:val="en-US"/>
        </w:rPr>
        <w:t xml:space="preserve"> or the way in which other political actors should deal with extreme right parties</w:t>
      </w:r>
      <w:r>
        <w:rPr>
          <w:rFonts w:ascii="Times New Roman" w:hAnsi="Times New Roman"/>
          <w:sz w:val="24"/>
          <w:szCs w:val="24"/>
          <w:lang w:val="en-US"/>
        </w:rPr>
        <w:t>,</w:t>
      </w:r>
      <w:r w:rsidRPr="00045C4C">
        <w:rPr>
          <w:rFonts w:ascii="Times New Roman" w:hAnsi="Times New Roman"/>
          <w:sz w:val="24"/>
          <w:szCs w:val="24"/>
          <w:lang w:val="en-US"/>
        </w:rPr>
        <w:t xml:space="preserve"> has drawn comparatively less attention. </w:t>
      </w:r>
    </w:p>
    <w:p w:rsidR="00ED7740" w:rsidRDefault="00ED7740" w:rsidP="00740A9D">
      <w:pPr>
        <w:spacing w:line="360" w:lineRule="auto"/>
        <w:jc w:val="both"/>
        <w:rPr>
          <w:rFonts w:ascii="Times New Roman" w:hAnsi="Times New Roman"/>
          <w:sz w:val="24"/>
          <w:szCs w:val="24"/>
          <w:lang w:val="en-US"/>
        </w:rPr>
      </w:pPr>
      <w:r>
        <w:rPr>
          <w:rFonts w:ascii="Times New Roman" w:hAnsi="Times New Roman"/>
          <w:sz w:val="24"/>
          <w:szCs w:val="24"/>
          <w:lang w:val="en-US"/>
        </w:rPr>
        <w:t>The strength of t</w:t>
      </w:r>
      <w:r w:rsidRPr="00045C4C">
        <w:rPr>
          <w:rFonts w:ascii="Times New Roman" w:hAnsi="Times New Roman"/>
          <w:sz w:val="24"/>
          <w:szCs w:val="24"/>
          <w:lang w:val="en-US"/>
        </w:rPr>
        <w:t>he old neutral model of deliberative democracy overcoming the traditional opposition between procedural and substantive views of democracy</w:t>
      </w:r>
      <w:r w:rsidRPr="00045C4C">
        <w:rPr>
          <w:rStyle w:val="FootnoteReference"/>
          <w:rFonts w:ascii="Times New Roman" w:hAnsi="Times New Roman"/>
          <w:sz w:val="24"/>
          <w:szCs w:val="24"/>
          <w:lang w:val="en-US"/>
        </w:rPr>
        <w:footnoteReference w:id="1"/>
      </w:r>
      <w:r>
        <w:rPr>
          <w:rFonts w:ascii="Times New Roman" w:hAnsi="Times New Roman"/>
          <w:sz w:val="24"/>
          <w:szCs w:val="24"/>
          <w:lang w:val="en-US"/>
        </w:rPr>
        <w:t xml:space="preserve"> seems </w:t>
      </w:r>
      <w:r w:rsidRPr="00045C4C">
        <w:rPr>
          <w:rFonts w:ascii="Times New Roman" w:hAnsi="Times New Roman"/>
          <w:sz w:val="24"/>
          <w:szCs w:val="24"/>
          <w:lang w:val="en-US"/>
        </w:rPr>
        <w:t>to have been overestimated: ‘In comparative constitutional law, the old neutral model of liberal democracy, according to which all political views are entitled to the same rights of expression and association, has given way to a general consensus that restrictions on basic rights designed to preserve democracy are legitimate’</w:t>
      </w:r>
      <w:r w:rsidRPr="00045C4C">
        <w:rPr>
          <w:rStyle w:val="FootnoteReference"/>
          <w:rFonts w:ascii="Times New Roman" w:hAnsi="Times New Roman"/>
          <w:sz w:val="24"/>
          <w:szCs w:val="24"/>
          <w:lang w:val="en-US"/>
        </w:rPr>
        <w:footnoteReference w:id="2"/>
      </w:r>
      <w:r w:rsidRPr="00045C4C">
        <w:rPr>
          <w:rFonts w:ascii="Times New Roman" w:hAnsi="Times New Roman"/>
          <w:sz w:val="24"/>
          <w:szCs w:val="24"/>
          <w:lang w:val="en-US"/>
        </w:rPr>
        <w:t xml:space="preserve">. </w:t>
      </w:r>
    </w:p>
    <w:p w:rsidR="00ED7740" w:rsidRPr="00045C4C" w:rsidRDefault="00ED7740" w:rsidP="00740A9D">
      <w:pPr>
        <w:spacing w:line="360" w:lineRule="auto"/>
        <w:jc w:val="both"/>
        <w:rPr>
          <w:rFonts w:ascii="Times New Roman" w:hAnsi="Times New Roman"/>
          <w:sz w:val="24"/>
          <w:szCs w:val="24"/>
          <w:lang w:val="en-US"/>
        </w:rPr>
      </w:pPr>
      <w:r w:rsidRPr="00786130">
        <w:rPr>
          <w:rFonts w:ascii="Times New Roman" w:hAnsi="Times New Roman"/>
          <w:sz w:val="24"/>
          <w:szCs w:val="24"/>
          <w:lang w:val="en-US"/>
        </w:rPr>
        <w:t xml:space="preserve">Professor John Kean </w:t>
      </w:r>
      <w:r w:rsidRPr="00786130">
        <w:rPr>
          <w:rFonts w:ascii="Times New Roman" w:hAnsi="Times New Roman"/>
          <w:sz w:val="24"/>
          <w:szCs w:val="24"/>
          <w:shd w:val="clear" w:color="auto" w:fill="FFFFFF"/>
          <w:lang w:val="en-US"/>
        </w:rPr>
        <w:t>puzzled the picture of democracy being under pressure in a very interesting way;</w:t>
      </w:r>
      <w:r w:rsidRPr="00786130">
        <w:rPr>
          <w:rFonts w:ascii="Times New Roman" w:hAnsi="Times New Roman"/>
          <w:sz w:val="24"/>
          <w:szCs w:val="24"/>
          <w:lang w:val="en-US"/>
        </w:rPr>
        <w:t xml:space="preserve"> by </w:t>
      </w:r>
      <w:r w:rsidRPr="00786130">
        <w:rPr>
          <w:rFonts w:ascii="Times New Roman" w:hAnsi="Times New Roman"/>
          <w:sz w:val="24"/>
          <w:szCs w:val="24"/>
          <w:shd w:val="clear" w:color="auto" w:fill="FFFFFF"/>
          <w:lang w:val="en-US"/>
        </w:rPr>
        <w:t>extracting snippets of randomly-chosen local political news on a rather ordinary day, September 18th 2013</w:t>
      </w:r>
      <w:r w:rsidRPr="00045C4C">
        <w:rPr>
          <w:rFonts w:ascii="Times New Roman" w:hAnsi="Times New Roman"/>
          <w:sz w:val="24"/>
          <w:szCs w:val="24"/>
          <w:shd w:val="clear" w:color="auto" w:fill="FFFFFF"/>
          <w:lang w:val="en-US"/>
        </w:rPr>
        <w:t>: ‘In the Netherlands, newly-inaugurated King Willem-Alexander makes his first annual appearance before parliament with a speech announcing the end of the welfare state</w:t>
      </w:r>
      <w:r w:rsidRPr="00045C4C">
        <w:rPr>
          <w:rFonts w:ascii="Times New Roman" w:hAnsi="Times New Roman"/>
          <w:sz w:val="24"/>
          <w:szCs w:val="24"/>
          <w:lang w:val="en-US"/>
        </w:rPr>
        <w:t xml:space="preserve">. </w:t>
      </w:r>
      <w:r w:rsidRPr="00045C4C">
        <w:rPr>
          <w:rFonts w:ascii="Times New Roman" w:hAnsi="Times New Roman"/>
          <w:sz w:val="24"/>
          <w:szCs w:val="24"/>
          <w:shd w:val="clear" w:color="auto" w:fill="FFFFFF"/>
          <w:lang w:val="en-US"/>
        </w:rPr>
        <w:t>From Germany comes the news that in the five months since its launch, the populist anti-euro party, Alternative für Deutschland, looks to be the only group seriously challenging Angela Merkel’s ruling CDU and the flagging opposition Social Democrats. (…) In Greece, Pavlos Fyssas is murdered by a member of Golden Dawn, the neo-Nazi party with 18 members in the 300-seat Greek Parliament’.</w:t>
      </w:r>
      <w:r w:rsidRPr="00045C4C">
        <w:rPr>
          <w:rStyle w:val="FootnoteReference"/>
          <w:rFonts w:ascii="Times New Roman" w:hAnsi="Times New Roman"/>
          <w:sz w:val="24"/>
          <w:szCs w:val="24"/>
          <w:shd w:val="clear" w:color="auto" w:fill="FFFFFF"/>
          <w:lang w:val="en-US"/>
        </w:rPr>
        <w:footnoteReference w:id="3"/>
      </w:r>
      <w:r w:rsidRPr="00045C4C">
        <w:rPr>
          <w:rFonts w:ascii="Times New Roman" w:hAnsi="Times New Roman"/>
          <w:sz w:val="24"/>
          <w:szCs w:val="24"/>
          <w:shd w:val="clear" w:color="auto" w:fill="FFFFFF"/>
          <w:lang w:val="en-US"/>
        </w:rPr>
        <w:t xml:space="preserve"> </w:t>
      </w:r>
      <w:r w:rsidRPr="00771E99">
        <w:rPr>
          <w:rFonts w:ascii="Times New Roman" w:hAnsi="Times New Roman"/>
          <w:sz w:val="24"/>
          <w:szCs w:val="24"/>
          <w:shd w:val="clear" w:color="auto" w:fill="FFFFFF"/>
          <w:lang w:val="en-US"/>
        </w:rPr>
        <w:t>Despite having different origins and contexts, all these developments point to the fact that the traditional twofold requirement of deliberative democracy</w:t>
      </w:r>
      <w:r>
        <w:rPr>
          <w:rFonts w:ascii="Times New Roman" w:hAnsi="Times New Roman"/>
          <w:sz w:val="24"/>
          <w:szCs w:val="24"/>
          <w:shd w:val="clear" w:color="auto" w:fill="FFFFFF"/>
          <w:lang w:val="en-US"/>
        </w:rPr>
        <w:t>-</w:t>
      </w:r>
      <w:r w:rsidRPr="00771E99">
        <w:rPr>
          <w:rFonts w:ascii="Times New Roman" w:hAnsi="Times New Roman"/>
          <w:sz w:val="24"/>
          <w:szCs w:val="24"/>
          <w:shd w:val="clear" w:color="auto" w:fill="FFFFFF"/>
          <w:lang w:val="en-US"/>
        </w:rPr>
        <w:t xml:space="preserve"> on the one hand, tracking all citizens’ concerns in the public sphere (procedural view of democracy) and on the other hand, adequately filtering such concerns in orde</w:t>
      </w:r>
      <w:r>
        <w:rPr>
          <w:rFonts w:ascii="Times New Roman" w:hAnsi="Times New Roman"/>
          <w:sz w:val="24"/>
          <w:szCs w:val="24"/>
          <w:shd w:val="clear" w:color="auto" w:fill="FFFFFF"/>
          <w:lang w:val="en-US"/>
        </w:rPr>
        <w:t>r to exclude the extremist ones-</w:t>
      </w:r>
      <w:r w:rsidRPr="00771E99">
        <w:rPr>
          <w:rFonts w:ascii="Times New Roman" w:hAnsi="Times New Roman"/>
          <w:sz w:val="24"/>
          <w:szCs w:val="24"/>
          <w:shd w:val="clear" w:color="auto" w:fill="FFFFFF"/>
          <w:lang w:val="en-US"/>
        </w:rPr>
        <w:t xml:space="preserve"> does not suffice to protect democracy and the use of stricter restrictions turns out to be necessary. </w:t>
      </w:r>
    </w:p>
    <w:p w:rsidR="00ED7740" w:rsidRDefault="00ED7740" w:rsidP="00740A9D">
      <w:pPr>
        <w:spacing w:line="360" w:lineRule="auto"/>
        <w:jc w:val="both"/>
        <w:rPr>
          <w:rFonts w:ascii="Times New Roman" w:hAnsi="Times New Roman"/>
          <w:sz w:val="24"/>
          <w:szCs w:val="24"/>
          <w:lang w:val="en-US"/>
        </w:rPr>
      </w:pPr>
      <w:r w:rsidRPr="00045C4C">
        <w:rPr>
          <w:rFonts w:ascii="Times New Roman" w:hAnsi="Times New Roman"/>
          <w:sz w:val="24"/>
          <w:szCs w:val="24"/>
          <w:lang w:val="en-US"/>
        </w:rPr>
        <w:t xml:space="preserve">Scholarship </w:t>
      </w:r>
      <w:r>
        <w:rPr>
          <w:rFonts w:ascii="Times New Roman" w:hAnsi="Times New Roman"/>
          <w:sz w:val="24"/>
          <w:szCs w:val="24"/>
          <w:lang w:val="en-US"/>
        </w:rPr>
        <w:t xml:space="preserve">has mostly </w:t>
      </w:r>
      <w:r w:rsidRPr="00045C4C">
        <w:rPr>
          <w:rFonts w:ascii="Times New Roman" w:hAnsi="Times New Roman"/>
          <w:sz w:val="24"/>
          <w:szCs w:val="24"/>
          <w:lang w:val="en-US"/>
        </w:rPr>
        <w:t>sought to analy</w:t>
      </w:r>
      <w:r>
        <w:rPr>
          <w:rFonts w:ascii="Times New Roman" w:hAnsi="Times New Roman"/>
          <w:sz w:val="24"/>
          <w:szCs w:val="24"/>
          <w:lang w:val="en-US"/>
        </w:rPr>
        <w:t>s</w:t>
      </w:r>
      <w:r w:rsidRPr="00045C4C">
        <w:rPr>
          <w:rFonts w:ascii="Times New Roman" w:hAnsi="Times New Roman"/>
          <w:sz w:val="24"/>
          <w:szCs w:val="24"/>
          <w:lang w:val="en-US"/>
        </w:rPr>
        <w:t>e the effectiveness and the opportunity of national institutional frameworks</w:t>
      </w:r>
      <w:r>
        <w:rPr>
          <w:rFonts w:ascii="Times New Roman" w:hAnsi="Times New Roman"/>
          <w:sz w:val="24"/>
          <w:szCs w:val="24"/>
          <w:lang w:val="en-US"/>
        </w:rPr>
        <w:t xml:space="preserve"> in verifying what makes militant policies and institutions politically viable on a national level</w:t>
      </w:r>
      <w:r w:rsidRPr="00045C4C">
        <w:rPr>
          <w:rFonts w:ascii="Times New Roman" w:hAnsi="Times New Roman"/>
          <w:sz w:val="24"/>
          <w:szCs w:val="24"/>
          <w:lang w:val="en-US"/>
        </w:rPr>
        <w:t xml:space="preserve">. </w:t>
      </w:r>
      <w:r>
        <w:rPr>
          <w:rFonts w:ascii="Times New Roman" w:hAnsi="Times New Roman"/>
          <w:sz w:val="24"/>
          <w:szCs w:val="24"/>
          <w:lang w:val="en-US"/>
        </w:rPr>
        <w:t>Nevertheless, g</w:t>
      </w:r>
      <w:r w:rsidRPr="00045C4C">
        <w:rPr>
          <w:rFonts w:ascii="Times New Roman" w:hAnsi="Times New Roman"/>
          <w:sz w:val="24"/>
          <w:szCs w:val="24"/>
          <w:lang w:val="en-US"/>
        </w:rPr>
        <w:t xml:space="preserve">iven </w:t>
      </w:r>
      <w:r>
        <w:rPr>
          <w:rFonts w:ascii="Times New Roman" w:hAnsi="Times New Roman"/>
          <w:sz w:val="24"/>
          <w:szCs w:val="24"/>
          <w:lang w:val="en-US"/>
        </w:rPr>
        <w:t xml:space="preserve">the European political community deepening, </w:t>
      </w:r>
      <w:r w:rsidRPr="00045C4C">
        <w:rPr>
          <w:rFonts w:ascii="Times New Roman" w:hAnsi="Times New Roman"/>
          <w:sz w:val="24"/>
          <w:szCs w:val="24"/>
          <w:lang w:val="en-US"/>
        </w:rPr>
        <w:t xml:space="preserve">it </w:t>
      </w:r>
      <w:r>
        <w:rPr>
          <w:rFonts w:ascii="Times New Roman" w:hAnsi="Times New Roman"/>
          <w:sz w:val="24"/>
          <w:szCs w:val="24"/>
          <w:lang w:val="en-US"/>
        </w:rPr>
        <w:t>is essential</w:t>
      </w:r>
      <w:r w:rsidRPr="00045C4C">
        <w:rPr>
          <w:rFonts w:ascii="Times New Roman" w:hAnsi="Times New Roman"/>
          <w:sz w:val="24"/>
          <w:szCs w:val="24"/>
          <w:lang w:val="en-US"/>
        </w:rPr>
        <w:t xml:space="preserve"> to examine </w:t>
      </w:r>
      <w:r>
        <w:rPr>
          <w:rFonts w:ascii="Times New Roman" w:hAnsi="Times New Roman"/>
          <w:sz w:val="24"/>
          <w:szCs w:val="24"/>
          <w:lang w:val="en-US"/>
        </w:rPr>
        <w:t>how militant democracy can</w:t>
      </w:r>
      <w:r w:rsidRPr="00045C4C">
        <w:rPr>
          <w:rFonts w:ascii="Times New Roman" w:hAnsi="Times New Roman"/>
          <w:sz w:val="24"/>
          <w:szCs w:val="24"/>
          <w:lang w:val="en-US"/>
        </w:rPr>
        <w:t xml:space="preserve"> be </w:t>
      </w:r>
      <w:r>
        <w:rPr>
          <w:rFonts w:ascii="Times New Roman" w:hAnsi="Times New Roman"/>
          <w:sz w:val="24"/>
          <w:szCs w:val="24"/>
          <w:lang w:val="en-US"/>
        </w:rPr>
        <w:t>enforced ‘beyond the state’. My research project will feature a comparative study of the impact that European Union politics (the so called Europeanization) have on national militant restrictions. Furthermore, it will also contain, in contrast, a comparative study of national developments capable of influencing</w:t>
      </w:r>
      <w:r w:rsidRPr="00045C4C">
        <w:rPr>
          <w:rFonts w:ascii="Times New Roman" w:hAnsi="Times New Roman"/>
          <w:sz w:val="24"/>
          <w:szCs w:val="24"/>
          <w:lang w:val="en-US"/>
        </w:rPr>
        <w:t xml:space="preserve"> the EU to adopt a more interventionist attitude in combating extreme right parties. </w:t>
      </w:r>
      <w:r>
        <w:rPr>
          <w:rFonts w:ascii="Times New Roman" w:hAnsi="Times New Roman"/>
          <w:sz w:val="24"/>
          <w:szCs w:val="24"/>
          <w:lang w:val="en-US"/>
        </w:rPr>
        <w:t>The project will similarly attempt to explain,</w:t>
      </w:r>
      <w:r w:rsidRPr="00AA61B7">
        <w:rPr>
          <w:rFonts w:ascii="Times New Roman" w:hAnsi="Times New Roman"/>
          <w:sz w:val="24"/>
          <w:szCs w:val="24"/>
          <w:lang w:val="en-US"/>
        </w:rPr>
        <w:t xml:space="preserve"> </w:t>
      </w:r>
      <w:r>
        <w:rPr>
          <w:rFonts w:ascii="Times New Roman" w:hAnsi="Times New Roman"/>
          <w:sz w:val="24"/>
          <w:szCs w:val="24"/>
          <w:lang w:val="en-US"/>
        </w:rPr>
        <w:t xml:space="preserve">in a two way process, why the level of Europeanization is </w:t>
      </w:r>
      <w:r w:rsidRPr="00AA61B7">
        <w:rPr>
          <w:rFonts w:ascii="Times New Roman" w:hAnsi="Times New Roman"/>
          <w:sz w:val="24"/>
          <w:szCs w:val="24"/>
          <w:lang w:val="en-US"/>
        </w:rPr>
        <w:t xml:space="preserve">stronger in some cases and why </w:t>
      </w:r>
      <w:r>
        <w:rPr>
          <w:rFonts w:ascii="Times New Roman" w:hAnsi="Times New Roman"/>
          <w:sz w:val="24"/>
          <w:szCs w:val="24"/>
          <w:lang w:val="en-US"/>
        </w:rPr>
        <w:t xml:space="preserve">certain national militant restrictions are more easily uploaded at the European level.   </w:t>
      </w:r>
    </w:p>
    <w:p w:rsidR="00ED7740" w:rsidRPr="004E5D91" w:rsidRDefault="00ED7740" w:rsidP="00740A9D">
      <w:pPr>
        <w:spacing w:line="360" w:lineRule="auto"/>
        <w:jc w:val="both"/>
        <w:rPr>
          <w:rFonts w:ascii="Times New Roman" w:hAnsi="Times New Roman"/>
          <w:b/>
          <w:sz w:val="24"/>
          <w:szCs w:val="24"/>
          <w:shd w:val="clear" w:color="auto" w:fill="FFFFFF"/>
          <w:lang w:val="en-US"/>
        </w:rPr>
      </w:pPr>
      <w:r w:rsidRPr="00E851B1">
        <w:rPr>
          <w:rFonts w:ascii="Times New Roman" w:hAnsi="Times New Roman"/>
          <w:b/>
          <w:sz w:val="24"/>
          <w:szCs w:val="24"/>
          <w:shd w:val="clear" w:color="auto" w:fill="FFFFFF"/>
          <w:lang w:val="en-US"/>
        </w:rPr>
        <w:t>Literature Review</w:t>
      </w:r>
      <w:r w:rsidRPr="00E851B1">
        <w:rPr>
          <w:rFonts w:ascii="Times New Roman" w:hAnsi="Times New Roman"/>
          <w:sz w:val="24"/>
          <w:szCs w:val="24"/>
          <w:shd w:val="clear" w:color="auto" w:fill="FFFFFF"/>
          <w:lang w:val="en-US"/>
        </w:rPr>
        <w:t xml:space="preserve"> </w:t>
      </w:r>
      <w:r w:rsidRPr="004E5D91">
        <w:rPr>
          <w:rFonts w:ascii="Times New Roman" w:hAnsi="Times New Roman"/>
          <w:b/>
          <w:sz w:val="24"/>
          <w:szCs w:val="24"/>
          <w:shd w:val="clear" w:color="auto" w:fill="FFFFFF"/>
          <w:lang w:val="en-US"/>
        </w:rPr>
        <w:t xml:space="preserve">on militant and defending democracy </w:t>
      </w:r>
    </w:p>
    <w:p w:rsidR="00ED7740" w:rsidRDefault="00ED7740" w:rsidP="00740A9D">
      <w:pPr>
        <w:spacing w:line="360" w:lineRule="auto"/>
        <w:jc w:val="both"/>
        <w:rPr>
          <w:rFonts w:ascii="Times New Roman" w:hAnsi="Times New Roman"/>
          <w:sz w:val="24"/>
          <w:szCs w:val="24"/>
          <w:shd w:val="clear" w:color="auto" w:fill="FFFFFF"/>
          <w:lang w:val="en-US"/>
        </w:rPr>
      </w:pPr>
      <w:r w:rsidRPr="00045C4C">
        <w:rPr>
          <w:rFonts w:ascii="Times New Roman" w:hAnsi="Times New Roman"/>
          <w:sz w:val="24"/>
          <w:szCs w:val="24"/>
          <w:shd w:val="clear" w:color="auto" w:fill="FFFFFF"/>
          <w:lang w:val="en-US"/>
        </w:rPr>
        <w:t>The old concept of militant democracy</w:t>
      </w:r>
      <w:r w:rsidRPr="00045C4C">
        <w:rPr>
          <w:rStyle w:val="FootnoteReference"/>
          <w:rFonts w:ascii="Times New Roman" w:hAnsi="Times New Roman"/>
          <w:sz w:val="24"/>
          <w:szCs w:val="24"/>
          <w:shd w:val="clear" w:color="auto" w:fill="FFFFFF"/>
          <w:lang w:val="en-US"/>
        </w:rPr>
        <w:footnoteReference w:id="4"/>
      </w:r>
      <w:r w:rsidRPr="00045C4C">
        <w:rPr>
          <w:rFonts w:ascii="Times New Roman" w:hAnsi="Times New Roman"/>
          <w:sz w:val="24"/>
          <w:szCs w:val="24"/>
          <w:shd w:val="clear" w:color="auto" w:fill="FFFFFF"/>
          <w:lang w:val="en-US"/>
        </w:rPr>
        <w:t xml:space="preserve">, introduced by Karl </w:t>
      </w:r>
      <w:r w:rsidRPr="00CB6597">
        <w:rPr>
          <w:rFonts w:ascii="Times New Roman" w:hAnsi="Times New Roman"/>
          <w:sz w:val="24"/>
          <w:szCs w:val="24"/>
          <w:shd w:val="clear" w:color="auto" w:fill="FFFFFF"/>
          <w:lang w:val="en-US"/>
        </w:rPr>
        <w:t>Loewenstein and defined as a natural politico-constitutional development of democracies responding with special legislation to the necessity of fighting Fascist and Nazi tendencies, has</w:t>
      </w:r>
      <w:r w:rsidRPr="00045C4C">
        <w:rPr>
          <w:rFonts w:ascii="Times New Roman" w:hAnsi="Times New Roman"/>
          <w:sz w:val="24"/>
          <w:szCs w:val="24"/>
          <w:shd w:val="clear" w:color="auto" w:fill="FFFFFF"/>
          <w:lang w:val="en-US"/>
        </w:rPr>
        <w:t xml:space="preserve"> guided postwar scholarship which focused on the analysis of </w:t>
      </w:r>
      <w:r>
        <w:rPr>
          <w:rFonts w:ascii="Times New Roman" w:hAnsi="Times New Roman"/>
          <w:sz w:val="24"/>
          <w:szCs w:val="24"/>
          <w:shd w:val="clear" w:color="auto" w:fill="FFFFFF"/>
          <w:lang w:val="en-US"/>
        </w:rPr>
        <w:t xml:space="preserve">the </w:t>
      </w:r>
      <w:r w:rsidRPr="00045C4C">
        <w:rPr>
          <w:rFonts w:ascii="Times New Roman" w:hAnsi="Times New Roman"/>
          <w:sz w:val="24"/>
          <w:szCs w:val="24"/>
          <w:shd w:val="clear" w:color="auto" w:fill="FFFFFF"/>
          <w:lang w:val="en-US"/>
        </w:rPr>
        <w:t>differences between democratic systems in addressing threats to the democratic order. The studies by Jaap van Donselaar</w:t>
      </w:r>
      <w:r w:rsidRPr="00045C4C">
        <w:rPr>
          <w:rStyle w:val="FootnoteReference"/>
          <w:rFonts w:ascii="Times New Roman" w:hAnsi="Times New Roman"/>
          <w:sz w:val="24"/>
          <w:szCs w:val="24"/>
          <w:shd w:val="clear" w:color="auto" w:fill="FFFFFF"/>
          <w:lang w:val="en-US"/>
        </w:rPr>
        <w:footnoteReference w:id="5"/>
      </w:r>
      <w:r w:rsidRPr="00045C4C">
        <w:rPr>
          <w:rFonts w:ascii="Times New Roman" w:hAnsi="Times New Roman"/>
          <w:sz w:val="24"/>
          <w:szCs w:val="24"/>
          <w:shd w:val="clear" w:color="auto" w:fill="FFFFFF"/>
          <w:lang w:val="en-US"/>
        </w:rPr>
        <w:t>, Tim Bale</w:t>
      </w:r>
      <w:r w:rsidRPr="00045C4C">
        <w:rPr>
          <w:rStyle w:val="FootnoteReference"/>
          <w:rFonts w:ascii="Times New Roman" w:hAnsi="Times New Roman"/>
          <w:sz w:val="24"/>
          <w:szCs w:val="24"/>
          <w:shd w:val="clear" w:color="auto" w:fill="FFFFFF"/>
          <w:lang w:val="en-US"/>
        </w:rPr>
        <w:footnoteReference w:id="6"/>
      </w:r>
      <w:r w:rsidRPr="00045C4C">
        <w:rPr>
          <w:rFonts w:ascii="Times New Roman" w:hAnsi="Times New Roman"/>
          <w:sz w:val="24"/>
          <w:szCs w:val="24"/>
          <w:shd w:val="clear" w:color="auto" w:fill="FFFFFF"/>
          <w:lang w:val="en-US"/>
        </w:rPr>
        <w:t xml:space="preserve"> and David Art</w:t>
      </w:r>
      <w:r w:rsidRPr="00045C4C">
        <w:rPr>
          <w:rStyle w:val="FootnoteReference"/>
          <w:rFonts w:ascii="Times New Roman" w:hAnsi="Times New Roman"/>
          <w:sz w:val="24"/>
          <w:szCs w:val="24"/>
          <w:shd w:val="clear" w:color="auto" w:fill="FFFFFF"/>
          <w:lang w:val="en-US"/>
        </w:rPr>
        <w:footnoteReference w:id="7"/>
      </w:r>
      <w:r w:rsidRPr="00045C4C">
        <w:rPr>
          <w:rFonts w:ascii="Times New Roman" w:hAnsi="Times New Roman"/>
          <w:sz w:val="24"/>
          <w:szCs w:val="24"/>
          <w:shd w:val="clear" w:color="auto" w:fill="FFFFFF"/>
          <w:lang w:val="en-US"/>
        </w:rPr>
        <w:t xml:space="preserve"> considering the response to extremist parties in many West European countries, support the claim that extremist parties tend to grow much more easily in a permissive than a repressive political environment whereas other scholars have argued that a repressive stance towards extremist parties can have counterproductive effects and lead, for instance, to stronger solidarity within the extremist group or to a hardening of ideology (Minkenberg</w:t>
      </w:r>
      <w:r w:rsidRPr="00045C4C">
        <w:rPr>
          <w:rStyle w:val="FootnoteReference"/>
          <w:rFonts w:ascii="Times New Roman" w:hAnsi="Times New Roman"/>
          <w:sz w:val="24"/>
          <w:szCs w:val="24"/>
          <w:shd w:val="clear" w:color="auto" w:fill="FFFFFF"/>
          <w:lang w:val="en-US"/>
        </w:rPr>
        <w:footnoteReference w:id="8"/>
      </w:r>
      <w:r w:rsidRPr="00045C4C">
        <w:rPr>
          <w:rFonts w:ascii="Times New Roman" w:hAnsi="Times New Roman"/>
          <w:sz w:val="24"/>
          <w:szCs w:val="24"/>
          <w:shd w:val="clear" w:color="auto" w:fill="FFFFFF"/>
          <w:lang w:val="en-US"/>
        </w:rPr>
        <w:t xml:space="preserve">). </w:t>
      </w:r>
      <w:r w:rsidRPr="001B0919">
        <w:rPr>
          <w:rFonts w:ascii="Times New Roman" w:hAnsi="Times New Roman"/>
          <w:sz w:val="24"/>
          <w:szCs w:val="24"/>
          <w:shd w:val="clear" w:color="auto" w:fill="FFFFFF"/>
          <w:lang w:val="en-US"/>
        </w:rPr>
        <w:t>Taking</w:t>
      </w:r>
      <w:r>
        <w:rPr>
          <w:rFonts w:ascii="Times New Roman" w:hAnsi="Times New Roman"/>
          <w:sz w:val="24"/>
          <w:szCs w:val="24"/>
          <w:shd w:val="clear" w:color="auto" w:fill="FFFFFF"/>
          <w:lang w:val="en-US"/>
        </w:rPr>
        <w:t xml:space="preserve"> this research even further, t</w:t>
      </w:r>
      <w:r w:rsidRPr="00045C4C">
        <w:rPr>
          <w:rFonts w:ascii="Times New Roman" w:hAnsi="Times New Roman"/>
          <w:sz w:val="24"/>
          <w:szCs w:val="24"/>
          <w:shd w:val="clear" w:color="auto" w:fill="FFFFFF"/>
          <w:lang w:val="en-US"/>
        </w:rPr>
        <w:t>he combination of a repressive stance with inclusionist strategies is presented by Giovanni Capoccia who provides a comprehensive study of the reactions towards political extremism in inter-war Europe</w:t>
      </w:r>
      <w:r w:rsidRPr="00045C4C">
        <w:rPr>
          <w:rStyle w:val="FootnoteReference"/>
          <w:rFonts w:ascii="Times New Roman" w:hAnsi="Times New Roman"/>
          <w:sz w:val="24"/>
          <w:szCs w:val="24"/>
          <w:shd w:val="clear" w:color="auto" w:fill="FFFFFF"/>
          <w:lang w:val="en-US"/>
        </w:rPr>
        <w:footnoteReference w:id="9"/>
      </w:r>
      <w:r w:rsidRPr="00045C4C">
        <w:rPr>
          <w:rFonts w:ascii="Times New Roman" w:hAnsi="Times New Roman"/>
          <w:sz w:val="24"/>
          <w:szCs w:val="24"/>
          <w:shd w:val="clear" w:color="auto" w:fill="FFFFFF"/>
          <w:lang w:val="en-US"/>
        </w:rPr>
        <w:t xml:space="preserve">. </w:t>
      </w:r>
    </w:p>
    <w:p w:rsidR="00ED7740" w:rsidRDefault="00ED7740" w:rsidP="00740A9D">
      <w:pPr>
        <w:spacing w:line="360" w:lineRule="auto"/>
        <w:jc w:val="both"/>
        <w:rPr>
          <w:rFonts w:ascii="Times New Roman" w:hAnsi="Times New Roman"/>
          <w:color w:val="FF0000"/>
          <w:sz w:val="24"/>
          <w:szCs w:val="24"/>
          <w:shd w:val="clear" w:color="auto" w:fill="FFFFFF"/>
          <w:lang w:val="en-US"/>
        </w:rPr>
      </w:pPr>
      <w:r w:rsidRPr="00B26FA3">
        <w:rPr>
          <w:rFonts w:ascii="Times New Roman" w:hAnsi="Times New Roman"/>
          <w:sz w:val="24"/>
          <w:szCs w:val="24"/>
          <w:shd w:val="clear" w:color="auto" w:fill="FFFFFF"/>
          <w:lang w:val="en-US"/>
        </w:rPr>
        <w:t>At this point, it would be useful to recall that repressive legislation covers a very broad ground of measures. The range of these measures can include norms aiming at protecting the military structures of the state from extremist influences, special legislation setting limits to freedom of expression and political pluralism, temporary or total party bans, special legislation limiting political propaganda etc</w:t>
      </w:r>
      <w:r w:rsidRPr="00F4573B">
        <w:rPr>
          <w:rFonts w:ascii="Times New Roman" w:hAnsi="Times New Roman"/>
          <w:color w:val="FF0000"/>
          <w:sz w:val="24"/>
          <w:szCs w:val="24"/>
          <w:shd w:val="clear" w:color="auto" w:fill="FFFFFF"/>
          <w:lang w:val="en-US"/>
        </w:rPr>
        <w:t xml:space="preserve">. </w:t>
      </w:r>
    </w:p>
    <w:p w:rsidR="00ED7740" w:rsidRDefault="00ED7740" w:rsidP="00740A9D">
      <w:pPr>
        <w:spacing w:line="36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Even if t</w:t>
      </w:r>
      <w:r w:rsidRPr="00045C4C">
        <w:rPr>
          <w:rFonts w:ascii="Times New Roman" w:hAnsi="Times New Roman"/>
          <w:sz w:val="24"/>
          <w:szCs w:val="24"/>
          <w:shd w:val="clear" w:color="auto" w:fill="FFFFFF"/>
          <w:lang w:val="en-US"/>
        </w:rPr>
        <w:t>he political circumstances during the inter-war era were marked</w:t>
      </w:r>
      <w:r>
        <w:rPr>
          <w:rFonts w:ascii="Times New Roman" w:hAnsi="Times New Roman"/>
          <w:sz w:val="24"/>
          <w:szCs w:val="24"/>
          <w:shd w:val="clear" w:color="auto" w:fill="FFFFFF"/>
          <w:lang w:val="en-US"/>
        </w:rPr>
        <w:t xml:space="preserve">ly different from current ones because </w:t>
      </w:r>
      <w:r w:rsidRPr="00045C4C">
        <w:rPr>
          <w:rFonts w:ascii="Times New Roman" w:hAnsi="Times New Roman"/>
          <w:sz w:val="24"/>
          <w:szCs w:val="24"/>
          <w:shd w:val="clear" w:color="auto" w:fill="FFFFFF"/>
          <w:lang w:val="en-US"/>
        </w:rPr>
        <w:t>the risk of a total democratic breakdown was much more present than it is today</w:t>
      </w:r>
      <w:r>
        <w:rPr>
          <w:rFonts w:ascii="Times New Roman" w:hAnsi="Times New Roman"/>
          <w:sz w:val="24"/>
          <w:szCs w:val="24"/>
          <w:shd w:val="clear" w:color="auto" w:fill="FFFFFF"/>
          <w:lang w:val="en-US"/>
        </w:rPr>
        <w:t xml:space="preserve">, most democratic regimes still adopt some of the legal restrictions of militant democracy. The variation of these restrictions across time and space has more to do with the implementation and the enforcement timings, the political conjunctures and public acceptance. </w:t>
      </w:r>
    </w:p>
    <w:p w:rsidR="00ED7740" w:rsidRDefault="00ED7740" w:rsidP="00740A9D">
      <w:pPr>
        <w:spacing w:line="36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The academic literature has sought to explain this cross-national variation in legal restrictions by mainly advancing the argument of cultural and historical background (Otto Kirchheimer 1961, Martin Klamt 2007). For Kirchheimer, Sweden and Great Britain—where tolerant values prevailed over restrictions on freedom of expression— had less need for restrictive rules whereas Italy and Germany adopted stricter rules in order to curb proauthoritarian trends in their public opinion</w:t>
      </w:r>
      <w:r>
        <w:rPr>
          <w:rStyle w:val="FootnoteReference"/>
          <w:rFonts w:ascii="Times New Roman" w:hAnsi="Times New Roman"/>
          <w:sz w:val="24"/>
          <w:szCs w:val="24"/>
          <w:shd w:val="clear" w:color="auto" w:fill="FFFFFF"/>
          <w:lang w:val="en-US"/>
        </w:rPr>
        <w:footnoteReference w:id="10"/>
      </w:r>
      <w:r>
        <w:rPr>
          <w:rFonts w:ascii="Times New Roman" w:hAnsi="Times New Roman"/>
          <w:sz w:val="24"/>
          <w:szCs w:val="24"/>
          <w:shd w:val="clear" w:color="auto" w:fill="FFFFFF"/>
          <w:lang w:val="en-US"/>
        </w:rPr>
        <w:t>. Therefore, the existence of militant restrictions depends on each country’s politico- constitutional tradition. Similarly, Klamt refers to the development of legal cultures in his comparative study including six countries (Germany, Austria, Italy, Greece, Spain and Portugal), all five having had dictatorship experiences</w:t>
      </w:r>
      <w:r>
        <w:rPr>
          <w:rStyle w:val="FootnoteReference"/>
          <w:rFonts w:ascii="Times New Roman" w:hAnsi="Times New Roman"/>
          <w:sz w:val="24"/>
          <w:szCs w:val="24"/>
          <w:shd w:val="clear" w:color="auto" w:fill="FFFFFF"/>
          <w:lang w:val="en-US"/>
        </w:rPr>
        <w:footnoteReference w:id="11"/>
      </w:r>
      <w:r>
        <w:rPr>
          <w:rFonts w:ascii="Times New Roman" w:hAnsi="Times New Roman"/>
          <w:sz w:val="24"/>
          <w:szCs w:val="24"/>
          <w:shd w:val="clear" w:color="auto" w:fill="FFFFFF"/>
          <w:lang w:val="en-US"/>
        </w:rPr>
        <w:t xml:space="preserve">. </w:t>
      </w:r>
    </w:p>
    <w:p w:rsidR="00ED7740" w:rsidRDefault="00ED7740" w:rsidP="00740A9D">
      <w:pPr>
        <w:spacing w:line="36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Another interesting study which overcomes the culture explanations seen by Capoccia as ‘inherently static’ is the comparative work of Jaap van Donselaar</w:t>
      </w:r>
      <w:r>
        <w:rPr>
          <w:rStyle w:val="FootnoteReference"/>
          <w:rFonts w:ascii="Times New Roman" w:hAnsi="Times New Roman"/>
          <w:sz w:val="24"/>
          <w:szCs w:val="24"/>
          <w:shd w:val="clear" w:color="auto" w:fill="FFFFFF"/>
          <w:lang w:val="en-US"/>
        </w:rPr>
        <w:footnoteReference w:id="12"/>
      </w:r>
      <w:r>
        <w:rPr>
          <w:rFonts w:ascii="Times New Roman" w:hAnsi="Times New Roman"/>
          <w:sz w:val="24"/>
          <w:szCs w:val="24"/>
          <w:shd w:val="clear" w:color="auto" w:fill="FFFFFF"/>
          <w:lang w:val="en-US"/>
        </w:rPr>
        <w:t xml:space="preserve">. The two hypotheses advanced by van Donselaar are that political parties’ bans are more likely to occur (i) at crisis moments and (ii) when the size of the party in question is dangerous enough to influence the political equilibrium. As his hypotheses grasp </w:t>
      </w:r>
      <w:r w:rsidRPr="00F93A98">
        <w:rPr>
          <w:rFonts w:ascii="Times New Roman" w:hAnsi="Times New Roman"/>
          <w:sz w:val="24"/>
          <w:szCs w:val="24"/>
          <w:shd w:val="clear" w:color="auto" w:fill="FFFFFF"/>
          <w:lang w:val="en-US"/>
        </w:rPr>
        <w:t xml:space="preserve">the question of the </w:t>
      </w:r>
      <w:r>
        <w:rPr>
          <w:rFonts w:ascii="Times New Roman" w:hAnsi="Times New Roman"/>
          <w:sz w:val="24"/>
          <w:szCs w:val="24"/>
          <w:shd w:val="clear" w:color="auto" w:fill="FFFFFF"/>
          <w:lang w:val="en-US"/>
        </w:rPr>
        <w:t xml:space="preserve">timing of reaction, </w:t>
      </w:r>
      <w:r w:rsidRPr="00612582">
        <w:rPr>
          <w:rFonts w:ascii="Times New Roman" w:hAnsi="Times New Roman"/>
          <w:sz w:val="24"/>
          <w:szCs w:val="24"/>
          <w:shd w:val="clear" w:color="auto" w:fill="FFFFFF"/>
          <w:lang w:val="en-US"/>
        </w:rPr>
        <w:t xml:space="preserve">they can help us evaluate </w:t>
      </w:r>
      <w:r>
        <w:rPr>
          <w:rFonts w:ascii="Times New Roman" w:hAnsi="Times New Roman"/>
          <w:sz w:val="24"/>
          <w:szCs w:val="24"/>
          <w:shd w:val="clear" w:color="auto" w:fill="FFFFFF"/>
          <w:lang w:val="en-US"/>
        </w:rPr>
        <w:t xml:space="preserve">whether militant restrictions should be enacted and enforced or if a total ban should intervene. </w:t>
      </w:r>
    </w:p>
    <w:p w:rsidR="00ED7740" w:rsidRDefault="00ED7740" w:rsidP="00740A9D">
      <w:pPr>
        <w:spacing w:line="36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All these studies tend, however, to adopt </w:t>
      </w:r>
      <w:r w:rsidRPr="00CB6597">
        <w:rPr>
          <w:rFonts w:ascii="Times New Roman" w:hAnsi="Times New Roman"/>
          <w:sz w:val="24"/>
          <w:szCs w:val="24"/>
          <w:shd w:val="clear" w:color="auto" w:fill="FFFFFF"/>
          <w:lang w:val="en-US"/>
        </w:rPr>
        <w:t>a national state approach as they</w:t>
      </w:r>
      <w:r>
        <w:rPr>
          <w:rFonts w:ascii="Times New Roman" w:hAnsi="Times New Roman"/>
          <w:sz w:val="24"/>
          <w:szCs w:val="24"/>
          <w:shd w:val="clear" w:color="auto" w:fill="FFFFFF"/>
          <w:lang w:val="en-US"/>
        </w:rPr>
        <w:t xml:space="preserve"> focus on or compare countries which are viewed as independent entities. This approach leaves out possible interstate interactions either at a horizontal level or at a vertical level. Regarding the vertical level, it goes without saying that t</w:t>
      </w:r>
      <w:r w:rsidRPr="00045C4C">
        <w:rPr>
          <w:rFonts w:ascii="Times New Roman" w:hAnsi="Times New Roman"/>
          <w:sz w:val="24"/>
          <w:szCs w:val="24"/>
          <w:shd w:val="clear" w:color="auto" w:fill="FFFFFF"/>
          <w:lang w:val="en-US"/>
        </w:rPr>
        <w:t xml:space="preserve">he context and the level of European integration were not </w:t>
      </w:r>
      <w:r>
        <w:rPr>
          <w:rFonts w:ascii="Times New Roman" w:hAnsi="Times New Roman"/>
          <w:sz w:val="24"/>
          <w:szCs w:val="24"/>
          <w:shd w:val="clear" w:color="auto" w:fill="FFFFFF"/>
          <w:lang w:val="en-US"/>
        </w:rPr>
        <w:t xml:space="preserve">at the time </w:t>
      </w:r>
      <w:r w:rsidRPr="00045C4C">
        <w:rPr>
          <w:rFonts w:ascii="Times New Roman" w:hAnsi="Times New Roman"/>
          <w:sz w:val="24"/>
          <w:szCs w:val="24"/>
          <w:shd w:val="clear" w:color="auto" w:fill="FFFFFF"/>
          <w:lang w:val="en-US"/>
        </w:rPr>
        <w:t xml:space="preserve">a determinative factor in states’ reaction towards extremism. </w:t>
      </w:r>
    </w:p>
    <w:p w:rsidR="00ED7740" w:rsidRDefault="00ED7740" w:rsidP="00740A9D">
      <w:pPr>
        <w:spacing w:line="360" w:lineRule="auto"/>
        <w:jc w:val="both"/>
        <w:rPr>
          <w:rFonts w:ascii="Times New Roman" w:hAnsi="Times New Roman"/>
          <w:sz w:val="24"/>
          <w:szCs w:val="24"/>
          <w:shd w:val="clear" w:color="auto" w:fill="FFFFFF"/>
          <w:lang w:val="en-US"/>
        </w:rPr>
      </w:pPr>
      <w:r w:rsidRPr="00970906">
        <w:rPr>
          <w:rFonts w:ascii="Times New Roman" w:hAnsi="Times New Roman"/>
          <w:sz w:val="24"/>
          <w:szCs w:val="24"/>
          <w:shd w:val="clear" w:color="auto" w:fill="FFFFFF"/>
          <w:lang w:val="en-US"/>
        </w:rPr>
        <w:t>The Treaty of Lisbon gave</w:t>
      </w:r>
      <w:r>
        <w:rPr>
          <w:rFonts w:ascii="Times New Roman" w:hAnsi="Times New Roman"/>
          <w:sz w:val="24"/>
          <w:szCs w:val="24"/>
          <w:shd w:val="clear" w:color="auto" w:fill="FFFFFF"/>
          <w:lang w:val="en-US"/>
        </w:rPr>
        <w:t xml:space="preserve"> new impetus to a fundamental </w:t>
      </w:r>
      <w:r w:rsidRPr="00970906">
        <w:rPr>
          <w:rFonts w:ascii="Times New Roman" w:hAnsi="Times New Roman"/>
          <w:sz w:val="24"/>
          <w:szCs w:val="24"/>
          <w:shd w:val="clear" w:color="auto" w:fill="FFFFFF"/>
          <w:lang w:val="en-US"/>
        </w:rPr>
        <w:t>rights culture in the EU’s inst</w:t>
      </w:r>
      <w:r>
        <w:rPr>
          <w:rFonts w:ascii="Times New Roman" w:hAnsi="Times New Roman"/>
          <w:sz w:val="24"/>
          <w:szCs w:val="24"/>
          <w:shd w:val="clear" w:color="auto" w:fill="FFFFFF"/>
          <w:lang w:val="en-US"/>
        </w:rPr>
        <w:t xml:space="preserve">itutional structure, including </w:t>
      </w:r>
      <w:r w:rsidRPr="00970906">
        <w:rPr>
          <w:rFonts w:ascii="Times New Roman" w:hAnsi="Times New Roman"/>
          <w:sz w:val="24"/>
          <w:szCs w:val="24"/>
          <w:shd w:val="clear" w:color="auto" w:fill="FFFFFF"/>
          <w:lang w:val="en-US"/>
        </w:rPr>
        <w:t>new internal procedur</w:t>
      </w:r>
      <w:r>
        <w:rPr>
          <w:rFonts w:ascii="Times New Roman" w:hAnsi="Times New Roman"/>
          <w:sz w:val="24"/>
          <w:szCs w:val="24"/>
          <w:shd w:val="clear" w:color="auto" w:fill="FFFFFF"/>
          <w:lang w:val="en-US"/>
        </w:rPr>
        <w:t xml:space="preserve">es in the European Commission, </w:t>
      </w:r>
      <w:r w:rsidRPr="00970906">
        <w:rPr>
          <w:rFonts w:ascii="Times New Roman" w:hAnsi="Times New Roman"/>
          <w:sz w:val="24"/>
          <w:szCs w:val="24"/>
          <w:shd w:val="clear" w:color="auto" w:fill="FFFFFF"/>
          <w:lang w:val="en-US"/>
        </w:rPr>
        <w:t xml:space="preserve">European Parliament and Council of the European </w:t>
      </w:r>
      <w:r>
        <w:rPr>
          <w:rFonts w:ascii="Times New Roman" w:hAnsi="Times New Roman"/>
          <w:sz w:val="24"/>
          <w:szCs w:val="24"/>
          <w:shd w:val="clear" w:color="auto" w:fill="FFFFFF"/>
          <w:lang w:val="en-US"/>
        </w:rPr>
        <w:t>Union</w:t>
      </w:r>
      <w:r>
        <w:rPr>
          <w:rStyle w:val="FootnoteReference"/>
          <w:rFonts w:ascii="Times New Roman" w:hAnsi="Times New Roman"/>
          <w:sz w:val="24"/>
          <w:szCs w:val="24"/>
          <w:shd w:val="clear" w:color="auto" w:fill="FFFFFF"/>
          <w:lang w:val="en-US"/>
        </w:rPr>
        <w:footnoteReference w:id="13"/>
      </w:r>
      <w:r>
        <w:rPr>
          <w:rFonts w:ascii="Times New Roman" w:hAnsi="Times New Roman"/>
          <w:sz w:val="24"/>
          <w:szCs w:val="24"/>
          <w:shd w:val="clear" w:color="auto" w:fill="FFFFFF"/>
          <w:lang w:val="en-US"/>
        </w:rPr>
        <w:t xml:space="preserve">. The so called European community of values presupposes that the same democratic values are shared by all Member States and in particular the article 2 of the Treaty on European Union reads as follows: </w:t>
      </w:r>
      <w:r w:rsidRPr="001E299A">
        <w:rPr>
          <w:rFonts w:ascii="Times New Roman" w:hAnsi="Times New Roman"/>
          <w:sz w:val="24"/>
          <w:szCs w:val="24"/>
          <w:shd w:val="clear" w:color="auto" w:fill="FFFFFF"/>
          <w:lang w:val="en-US"/>
        </w:rPr>
        <w:t xml:space="preserve">The Union is founded on the values of respect for human dignity, freedom, democracy, equality, the rule of law and respect for human rights, including the rights of persons belonging to minorities. These values are </w:t>
      </w:r>
      <w:r w:rsidRPr="001E299A">
        <w:rPr>
          <w:rFonts w:ascii="Times New Roman" w:hAnsi="Times New Roman"/>
          <w:b/>
          <w:sz w:val="24"/>
          <w:szCs w:val="24"/>
          <w:shd w:val="clear" w:color="auto" w:fill="FFFFFF"/>
          <w:lang w:val="en-US"/>
        </w:rPr>
        <w:t>common to the Member States</w:t>
      </w:r>
      <w:r w:rsidRPr="001E299A">
        <w:rPr>
          <w:rFonts w:ascii="Times New Roman" w:hAnsi="Times New Roman"/>
          <w:sz w:val="24"/>
          <w:szCs w:val="24"/>
          <w:shd w:val="clear" w:color="auto" w:fill="FFFFFF"/>
          <w:lang w:val="en-US"/>
        </w:rPr>
        <w:t xml:space="preserve"> in a society in which pluralism, non</w:t>
      </w:r>
      <w:r>
        <w:rPr>
          <w:rFonts w:ascii="MS Mincho" w:eastAsia="MS Mincho" w:hAnsi="MS Mincho" w:cs="MS Mincho"/>
          <w:sz w:val="24"/>
          <w:szCs w:val="24"/>
          <w:shd w:val="clear" w:color="auto" w:fill="FFFFFF"/>
          <w:lang w:val="en-US"/>
        </w:rPr>
        <w:t xml:space="preserve"> </w:t>
      </w:r>
      <w:r w:rsidRPr="001E299A">
        <w:rPr>
          <w:rFonts w:ascii="Times New Roman" w:hAnsi="Times New Roman"/>
          <w:sz w:val="24"/>
          <w:szCs w:val="24"/>
          <w:shd w:val="clear" w:color="auto" w:fill="FFFFFF"/>
          <w:lang w:val="en-US"/>
        </w:rPr>
        <w:t>discrimination, tolerance, justice, solidarity and equality between women and men prevail.”</w:t>
      </w:r>
      <w:r>
        <w:rPr>
          <w:rFonts w:ascii="Times New Roman" w:hAnsi="Times New Roman"/>
          <w:sz w:val="24"/>
          <w:szCs w:val="24"/>
          <w:shd w:val="clear" w:color="auto" w:fill="FFFFFF"/>
          <w:lang w:val="en-US"/>
        </w:rPr>
        <w:t xml:space="preserve"> </w:t>
      </w:r>
      <w:r w:rsidRPr="001E299A">
        <w:rPr>
          <w:rFonts w:ascii="Times New Roman" w:hAnsi="Times New Roman"/>
          <w:sz w:val="24"/>
          <w:szCs w:val="24"/>
          <w:shd w:val="clear" w:color="auto" w:fill="FFFFFF"/>
          <w:lang w:val="en-US"/>
        </w:rPr>
        <w:t>To safeguard Article 2 values, Article 7 allows for three different interventions: the determination of a “clear risk of a substantial breach” of core EU values; the identification of a “serious and persistent breach” of these values; and, the imposition of political sanctions against</w:t>
      </w:r>
      <w:r>
        <w:rPr>
          <w:rFonts w:ascii="Times New Roman" w:hAnsi="Times New Roman"/>
          <w:sz w:val="24"/>
          <w:szCs w:val="24"/>
          <w:shd w:val="clear" w:color="auto" w:fill="FFFFFF"/>
          <w:lang w:val="en-US"/>
        </w:rPr>
        <w:t xml:space="preserve"> the EU Member State concerned although the </w:t>
      </w:r>
      <w:r w:rsidRPr="001E299A">
        <w:rPr>
          <w:rFonts w:ascii="Times New Roman" w:hAnsi="Times New Roman"/>
          <w:sz w:val="24"/>
          <w:szCs w:val="24"/>
          <w:shd w:val="clear" w:color="auto" w:fill="FFFFFF"/>
          <w:lang w:val="en-US"/>
        </w:rPr>
        <w:t>threshold for s</w:t>
      </w:r>
      <w:r>
        <w:rPr>
          <w:rFonts w:ascii="Times New Roman" w:hAnsi="Times New Roman"/>
          <w:sz w:val="24"/>
          <w:szCs w:val="24"/>
          <w:shd w:val="clear" w:color="auto" w:fill="FFFFFF"/>
          <w:lang w:val="en-US"/>
        </w:rPr>
        <w:t xml:space="preserve">etting any of these procedures </w:t>
      </w:r>
      <w:r w:rsidRPr="001E299A">
        <w:rPr>
          <w:rFonts w:ascii="Times New Roman" w:hAnsi="Times New Roman"/>
          <w:sz w:val="24"/>
          <w:szCs w:val="24"/>
          <w:shd w:val="clear" w:color="auto" w:fill="FFFFFF"/>
          <w:lang w:val="en-US"/>
        </w:rPr>
        <w:t>in motion is high and t</w:t>
      </w:r>
      <w:r>
        <w:rPr>
          <w:rFonts w:ascii="Times New Roman" w:hAnsi="Times New Roman"/>
          <w:sz w:val="24"/>
          <w:szCs w:val="24"/>
          <w:shd w:val="clear" w:color="auto" w:fill="FFFFFF"/>
          <w:lang w:val="en-US"/>
        </w:rPr>
        <w:t>he major players are political institutions</w:t>
      </w:r>
      <w:r>
        <w:rPr>
          <w:rStyle w:val="FootnoteReference"/>
          <w:rFonts w:ascii="Times New Roman" w:hAnsi="Times New Roman"/>
          <w:sz w:val="24"/>
          <w:szCs w:val="24"/>
          <w:shd w:val="clear" w:color="auto" w:fill="FFFFFF"/>
          <w:lang w:val="en-US"/>
        </w:rPr>
        <w:footnoteReference w:id="14"/>
      </w:r>
      <w:r>
        <w:rPr>
          <w:rFonts w:ascii="Times New Roman" w:hAnsi="Times New Roman"/>
          <w:sz w:val="24"/>
          <w:szCs w:val="24"/>
          <w:shd w:val="clear" w:color="auto" w:fill="FFFFFF"/>
          <w:lang w:val="en-US"/>
        </w:rPr>
        <w:t xml:space="preserve">. </w:t>
      </w:r>
    </w:p>
    <w:p w:rsidR="00ED7740" w:rsidRPr="00CB6597" w:rsidRDefault="00ED7740" w:rsidP="00740A9D">
      <w:pPr>
        <w:spacing w:line="360" w:lineRule="auto"/>
        <w:jc w:val="both"/>
        <w:rPr>
          <w:rFonts w:ascii="Times New Roman" w:hAnsi="Times New Roman"/>
          <w:sz w:val="24"/>
          <w:szCs w:val="24"/>
          <w:shd w:val="clear" w:color="auto" w:fill="FFFFFF"/>
          <w:lang w:val="en-US"/>
        </w:rPr>
      </w:pPr>
      <w:r w:rsidRPr="00CB6597">
        <w:rPr>
          <w:rFonts w:ascii="Times New Roman" w:hAnsi="Times New Roman"/>
          <w:sz w:val="24"/>
          <w:szCs w:val="24"/>
          <w:shd w:val="clear" w:color="auto" w:fill="FFFFFF"/>
          <w:lang w:val="en-US"/>
        </w:rPr>
        <w:t xml:space="preserve">Taking into account that there is an established basis of agreement on these democratic values, which can no longer be negotiated, a possible interaction between national defending democracies and EU policies in combating extremism </w:t>
      </w:r>
      <w:r w:rsidRPr="00E2123D">
        <w:rPr>
          <w:rFonts w:ascii="Times New Roman" w:hAnsi="Times New Roman"/>
          <w:sz w:val="24"/>
          <w:szCs w:val="24"/>
          <w:shd w:val="clear" w:color="auto" w:fill="FFFFFF"/>
          <w:lang w:val="en-US"/>
        </w:rPr>
        <w:t>might</w:t>
      </w:r>
      <w:r>
        <w:rPr>
          <w:rFonts w:ascii="Times New Roman" w:hAnsi="Times New Roman"/>
          <w:b/>
          <w:color w:val="FF0000"/>
          <w:sz w:val="24"/>
          <w:szCs w:val="24"/>
          <w:shd w:val="clear" w:color="auto" w:fill="FFFFFF"/>
          <w:lang w:val="en-US"/>
        </w:rPr>
        <w:t xml:space="preserve"> </w:t>
      </w:r>
      <w:r w:rsidRPr="00CB6597">
        <w:rPr>
          <w:rFonts w:ascii="Times New Roman" w:hAnsi="Times New Roman"/>
          <w:sz w:val="24"/>
          <w:szCs w:val="24"/>
          <w:shd w:val="clear" w:color="auto" w:fill="FFFFFF"/>
          <w:lang w:val="en-US"/>
        </w:rPr>
        <w:t xml:space="preserve">be viewed mainly as a constructivist process towards Europeanizing defending democracy and not as an illegitimate EU interference in domestic politics. </w:t>
      </w:r>
    </w:p>
    <w:p w:rsidR="00ED7740" w:rsidRPr="00045C4C" w:rsidRDefault="00ED7740" w:rsidP="00740A9D">
      <w:pPr>
        <w:spacing w:line="36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Given the widespread acceptance of values being common and thus shared, the challenge is not conceptual but rather functional: t</w:t>
      </w:r>
      <w:r w:rsidRPr="003A5AE4">
        <w:rPr>
          <w:rFonts w:ascii="Times New Roman" w:hAnsi="Times New Roman"/>
          <w:sz w:val="24"/>
          <w:szCs w:val="24"/>
          <w:shd w:val="clear" w:color="auto" w:fill="FFFFFF"/>
          <w:lang w:val="en-US"/>
        </w:rPr>
        <w:t>he way the EU and its Member States</w:t>
      </w:r>
      <w:r>
        <w:rPr>
          <w:rFonts w:ascii="Times New Roman" w:hAnsi="Times New Roman"/>
          <w:sz w:val="24"/>
          <w:szCs w:val="24"/>
          <w:shd w:val="clear" w:color="auto" w:fill="FFFFFF"/>
          <w:lang w:val="en-US"/>
        </w:rPr>
        <w:t xml:space="preserve"> </w:t>
      </w:r>
      <w:r w:rsidRPr="003A5AE4">
        <w:rPr>
          <w:rFonts w:ascii="Times New Roman" w:hAnsi="Times New Roman"/>
          <w:sz w:val="24"/>
          <w:szCs w:val="24"/>
          <w:shd w:val="clear" w:color="auto" w:fill="FFFFFF"/>
          <w:lang w:val="en-US"/>
        </w:rPr>
        <w:t xml:space="preserve">deal with threats </w:t>
      </w:r>
      <w:r>
        <w:rPr>
          <w:rFonts w:ascii="Times New Roman" w:hAnsi="Times New Roman"/>
          <w:sz w:val="24"/>
          <w:szCs w:val="24"/>
          <w:shd w:val="clear" w:color="auto" w:fill="FFFFFF"/>
          <w:lang w:val="en-US"/>
        </w:rPr>
        <w:t>to their shared values remains mainly influenced by factors of national order such as partisan loyalties, pre electoral contexts and cultural differences</w:t>
      </w:r>
      <w:r w:rsidRPr="003A5AE4">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A recent example could be the reluctance of the German government to become involved in the application filed by the Bundesrat to the German Constitutional Court for declaring the NPD unconstitutional. </w:t>
      </w:r>
    </w:p>
    <w:p w:rsidR="00ED7740" w:rsidRPr="00401BB3" w:rsidRDefault="00ED7740" w:rsidP="00740A9D">
      <w:pPr>
        <w:rPr>
          <w:lang w:val="en-US"/>
        </w:rPr>
      </w:pPr>
    </w:p>
    <w:p w:rsidR="00ED7740" w:rsidRDefault="00ED7740" w:rsidP="00740A9D">
      <w:pPr>
        <w:spacing w:line="360" w:lineRule="auto"/>
        <w:jc w:val="both"/>
        <w:rPr>
          <w:rFonts w:ascii="Times New Roman" w:hAnsi="Times New Roman"/>
          <w:b/>
          <w:sz w:val="24"/>
          <w:szCs w:val="24"/>
          <w:lang w:val="en-US"/>
        </w:rPr>
      </w:pPr>
      <w:r w:rsidRPr="00045C4C">
        <w:rPr>
          <w:rFonts w:ascii="Times New Roman" w:hAnsi="Times New Roman"/>
          <w:b/>
          <w:sz w:val="24"/>
          <w:szCs w:val="24"/>
          <w:lang w:val="en-US"/>
        </w:rPr>
        <w:t xml:space="preserve">Theoretical framework </w:t>
      </w:r>
      <w:r>
        <w:rPr>
          <w:rFonts w:ascii="Times New Roman" w:hAnsi="Times New Roman"/>
          <w:b/>
          <w:sz w:val="24"/>
          <w:szCs w:val="24"/>
          <w:lang w:val="en-US"/>
        </w:rPr>
        <w:t xml:space="preserve">/ Hypotheses </w:t>
      </w:r>
    </w:p>
    <w:p w:rsidR="00ED7740" w:rsidRDefault="00ED7740" w:rsidP="00740A9D">
      <w:pPr>
        <w:spacing w:line="360" w:lineRule="auto"/>
        <w:jc w:val="both"/>
        <w:rPr>
          <w:rFonts w:ascii="Times New Roman" w:hAnsi="Times New Roman"/>
          <w:sz w:val="24"/>
          <w:szCs w:val="24"/>
          <w:lang w:val="en-US"/>
        </w:rPr>
      </w:pPr>
      <w:r w:rsidRPr="00045C4C">
        <w:rPr>
          <w:rFonts w:ascii="Times New Roman" w:hAnsi="Times New Roman"/>
          <w:sz w:val="24"/>
          <w:szCs w:val="24"/>
          <w:lang w:val="en-US"/>
        </w:rPr>
        <w:t xml:space="preserve">Europeanization </w:t>
      </w:r>
      <w:r>
        <w:rPr>
          <w:rFonts w:ascii="Times New Roman" w:hAnsi="Times New Roman"/>
          <w:sz w:val="24"/>
          <w:szCs w:val="24"/>
          <w:lang w:val="en-US"/>
        </w:rPr>
        <w:t>has been defined by Ladrech as ‘</w:t>
      </w:r>
      <w:r w:rsidRPr="00045C4C">
        <w:rPr>
          <w:rFonts w:ascii="Times New Roman" w:hAnsi="Times New Roman"/>
          <w:sz w:val="24"/>
          <w:szCs w:val="24"/>
          <w:lang w:val="en-US"/>
        </w:rPr>
        <w:t>an incremental process of a reorientation of the direction and form of politics to such a degree that European politics and economy become part of the very organizational logic of national politics and t</w:t>
      </w:r>
      <w:r>
        <w:rPr>
          <w:rFonts w:ascii="Times New Roman" w:hAnsi="Times New Roman"/>
          <w:sz w:val="24"/>
          <w:szCs w:val="24"/>
          <w:lang w:val="en-US"/>
        </w:rPr>
        <w:t>heir decision making mechanism’.</w:t>
      </w:r>
      <w:r w:rsidRPr="00045C4C">
        <w:rPr>
          <w:rFonts w:ascii="Times New Roman" w:hAnsi="Times New Roman"/>
          <w:sz w:val="24"/>
          <w:szCs w:val="24"/>
          <w:lang w:val="en-US"/>
        </w:rPr>
        <w:t xml:space="preserve"> </w:t>
      </w:r>
      <w:r>
        <w:rPr>
          <w:rFonts w:ascii="Times New Roman" w:hAnsi="Times New Roman"/>
          <w:sz w:val="24"/>
          <w:szCs w:val="24"/>
          <w:lang w:val="en-US"/>
        </w:rPr>
        <w:t>C</w:t>
      </w:r>
      <w:r w:rsidRPr="00045C4C">
        <w:rPr>
          <w:rFonts w:ascii="Times New Roman" w:hAnsi="Times New Roman"/>
          <w:sz w:val="24"/>
          <w:szCs w:val="24"/>
          <w:lang w:val="en-US"/>
        </w:rPr>
        <w:t xml:space="preserve">ertain authors </w:t>
      </w:r>
      <w:r>
        <w:rPr>
          <w:rFonts w:ascii="Times New Roman" w:hAnsi="Times New Roman"/>
          <w:sz w:val="24"/>
          <w:szCs w:val="24"/>
          <w:lang w:val="en-US"/>
        </w:rPr>
        <w:t xml:space="preserve">have </w:t>
      </w:r>
      <w:r w:rsidRPr="00045C4C">
        <w:rPr>
          <w:rFonts w:ascii="Times New Roman" w:hAnsi="Times New Roman"/>
          <w:sz w:val="24"/>
          <w:szCs w:val="24"/>
          <w:lang w:val="en-US"/>
        </w:rPr>
        <w:t>directed their analyses towards the indirect rather than the direct effects (Kitschelt, Abedi, VanderBrug) of European integration and, more precisely, on the outcome of extreme right parties.</w:t>
      </w:r>
    </w:p>
    <w:p w:rsidR="00ED7740" w:rsidRPr="00045C4C" w:rsidRDefault="00ED7740" w:rsidP="00740A9D">
      <w:pPr>
        <w:spacing w:line="360" w:lineRule="auto"/>
        <w:jc w:val="both"/>
        <w:rPr>
          <w:rFonts w:ascii="Times New Roman" w:hAnsi="Times New Roman"/>
          <w:sz w:val="24"/>
          <w:szCs w:val="24"/>
          <w:lang w:val="en-US"/>
        </w:rPr>
      </w:pPr>
      <w:r w:rsidRPr="00045C4C">
        <w:rPr>
          <w:rFonts w:ascii="Times New Roman" w:hAnsi="Times New Roman"/>
          <w:sz w:val="24"/>
          <w:szCs w:val="24"/>
          <w:lang w:val="en-US"/>
        </w:rPr>
        <w:t>It is known that Europeanization is a two way process</w:t>
      </w:r>
      <w:r>
        <w:rPr>
          <w:rFonts w:ascii="Times New Roman" w:hAnsi="Times New Roman"/>
          <w:sz w:val="24"/>
          <w:szCs w:val="24"/>
          <w:lang w:val="en-US"/>
        </w:rPr>
        <w:t>,</w:t>
      </w:r>
      <w:r w:rsidRPr="00045C4C">
        <w:rPr>
          <w:rFonts w:ascii="Times New Roman" w:hAnsi="Times New Roman"/>
          <w:sz w:val="24"/>
          <w:szCs w:val="24"/>
          <w:lang w:val="en-US"/>
        </w:rPr>
        <w:t xml:space="preserve"> in which Member State governments both shape European policy outcomes and adapt to them. Member States have an incentive to upload their policies to the European level to minimi</w:t>
      </w:r>
      <w:r>
        <w:rPr>
          <w:rFonts w:ascii="Times New Roman" w:hAnsi="Times New Roman"/>
          <w:sz w:val="24"/>
          <w:szCs w:val="24"/>
          <w:lang w:val="en-US"/>
        </w:rPr>
        <w:t>ze the costs in downloading them</w:t>
      </w:r>
      <w:r w:rsidRPr="00045C4C">
        <w:rPr>
          <w:rFonts w:ascii="Times New Roman" w:hAnsi="Times New Roman"/>
          <w:sz w:val="24"/>
          <w:szCs w:val="24"/>
          <w:lang w:val="en-US"/>
        </w:rPr>
        <w:t xml:space="preserve"> at the domestic level. </w:t>
      </w:r>
    </w:p>
    <w:p w:rsidR="00ED7740" w:rsidRPr="00045C4C" w:rsidRDefault="00ED7740" w:rsidP="00740A9D">
      <w:pPr>
        <w:spacing w:line="360" w:lineRule="auto"/>
        <w:jc w:val="both"/>
        <w:rPr>
          <w:rFonts w:ascii="Times New Roman" w:hAnsi="Times New Roman"/>
          <w:sz w:val="24"/>
          <w:szCs w:val="24"/>
          <w:lang w:val="en-US"/>
        </w:rPr>
      </w:pPr>
      <w:r w:rsidRPr="00045C4C">
        <w:rPr>
          <w:rFonts w:ascii="Times New Roman" w:hAnsi="Times New Roman"/>
          <w:sz w:val="24"/>
          <w:szCs w:val="24"/>
          <w:lang w:val="en-US"/>
        </w:rPr>
        <w:t>More specifically, it has already been argued b</w:t>
      </w:r>
      <w:r>
        <w:rPr>
          <w:rFonts w:ascii="Times New Roman" w:hAnsi="Times New Roman"/>
          <w:sz w:val="24"/>
          <w:szCs w:val="24"/>
          <w:lang w:val="en-US"/>
        </w:rPr>
        <w:t>y Renee L. Buhr that when centre</w:t>
      </w:r>
      <w:r w:rsidRPr="00045C4C">
        <w:rPr>
          <w:rFonts w:ascii="Times New Roman" w:hAnsi="Times New Roman"/>
          <w:sz w:val="24"/>
          <w:szCs w:val="24"/>
          <w:lang w:val="en-US"/>
        </w:rPr>
        <w:t xml:space="preserve"> parties were in favo</w:t>
      </w:r>
      <w:r>
        <w:rPr>
          <w:rFonts w:ascii="Times New Roman" w:hAnsi="Times New Roman"/>
          <w:sz w:val="24"/>
          <w:szCs w:val="24"/>
          <w:lang w:val="en-US"/>
        </w:rPr>
        <w:t>u</w:t>
      </w:r>
      <w:r w:rsidRPr="00045C4C">
        <w:rPr>
          <w:rFonts w:ascii="Times New Roman" w:hAnsi="Times New Roman"/>
          <w:sz w:val="24"/>
          <w:szCs w:val="24"/>
          <w:lang w:val="en-US"/>
        </w:rPr>
        <w:t>r of a more extensive Eur</w:t>
      </w:r>
      <w:r>
        <w:rPr>
          <w:rFonts w:ascii="Times New Roman" w:hAnsi="Times New Roman"/>
          <w:sz w:val="24"/>
          <w:szCs w:val="24"/>
          <w:lang w:val="en-US"/>
        </w:rPr>
        <w:t>opean integration, ‘</w:t>
      </w:r>
      <w:r w:rsidRPr="00045C4C">
        <w:rPr>
          <w:rFonts w:ascii="Times New Roman" w:hAnsi="Times New Roman"/>
          <w:sz w:val="24"/>
          <w:szCs w:val="24"/>
          <w:lang w:val="en-US"/>
        </w:rPr>
        <w:t>a space opens for the extreme right to present itself as the alternative</w:t>
      </w:r>
      <w:r>
        <w:rPr>
          <w:rFonts w:ascii="Times New Roman" w:hAnsi="Times New Roman"/>
          <w:sz w:val="24"/>
          <w:szCs w:val="24"/>
          <w:lang w:val="en-US"/>
        </w:rPr>
        <w:t>’</w:t>
      </w:r>
      <w:r w:rsidRPr="00045C4C">
        <w:rPr>
          <w:rFonts w:ascii="Times New Roman" w:hAnsi="Times New Roman"/>
          <w:sz w:val="24"/>
          <w:szCs w:val="24"/>
          <w:lang w:val="en-US"/>
        </w:rPr>
        <w:t>.</w:t>
      </w:r>
      <w:r>
        <w:rPr>
          <w:rStyle w:val="FootnoteReference"/>
          <w:rFonts w:ascii="Times New Roman" w:hAnsi="Times New Roman"/>
          <w:sz w:val="24"/>
          <w:szCs w:val="24"/>
          <w:lang w:val="en-US"/>
        </w:rPr>
        <w:footnoteReference w:id="15"/>
      </w:r>
      <w:r w:rsidRPr="00045C4C">
        <w:rPr>
          <w:rFonts w:ascii="Times New Roman" w:hAnsi="Times New Roman"/>
          <w:sz w:val="24"/>
          <w:szCs w:val="24"/>
          <w:lang w:val="en-US"/>
        </w:rPr>
        <w:t xml:space="preserve"> Speaking of the 2008-</w:t>
      </w:r>
      <w:r>
        <w:rPr>
          <w:rFonts w:ascii="Times New Roman" w:hAnsi="Times New Roman"/>
          <w:sz w:val="24"/>
          <w:szCs w:val="24"/>
          <w:lang w:val="en-US"/>
        </w:rPr>
        <w:t>2009 crisis in France in his latest</w:t>
      </w:r>
      <w:r w:rsidRPr="00045C4C">
        <w:rPr>
          <w:rFonts w:ascii="Times New Roman" w:hAnsi="Times New Roman"/>
          <w:sz w:val="24"/>
          <w:szCs w:val="24"/>
          <w:lang w:val="en-US"/>
        </w:rPr>
        <w:t xml:space="preserve"> work, Pascal Perrineau similarly explains the Front National’s growth after its fall during the 2007 presidential elections by the fact that the party presents itself as an alternative to all those deeply affected by the crisis</w:t>
      </w:r>
      <w:r>
        <w:rPr>
          <w:rStyle w:val="FootnoteReference"/>
          <w:rFonts w:ascii="Times New Roman" w:hAnsi="Times New Roman"/>
          <w:sz w:val="24"/>
          <w:szCs w:val="24"/>
          <w:lang w:val="en-US"/>
        </w:rPr>
        <w:footnoteReference w:id="16"/>
      </w:r>
      <w:r w:rsidRPr="00045C4C">
        <w:rPr>
          <w:rFonts w:ascii="Times New Roman" w:hAnsi="Times New Roman"/>
          <w:sz w:val="24"/>
          <w:szCs w:val="24"/>
          <w:lang w:val="en-US"/>
        </w:rPr>
        <w:t>.</w:t>
      </w:r>
    </w:p>
    <w:p w:rsidR="00ED7740" w:rsidRPr="005011F1" w:rsidRDefault="00ED7740" w:rsidP="00740A9D">
      <w:pPr>
        <w:spacing w:line="360" w:lineRule="auto"/>
        <w:jc w:val="both"/>
        <w:rPr>
          <w:rFonts w:ascii="Times New Roman" w:hAnsi="Times New Roman"/>
          <w:sz w:val="24"/>
          <w:szCs w:val="24"/>
          <w:lang w:val="en-US"/>
        </w:rPr>
      </w:pPr>
      <w:r w:rsidRPr="005011F1">
        <w:rPr>
          <w:rFonts w:ascii="Times New Roman" w:hAnsi="Times New Roman"/>
          <w:sz w:val="24"/>
          <w:szCs w:val="24"/>
          <w:lang w:val="en-US"/>
        </w:rPr>
        <w:t xml:space="preserve">Linking </w:t>
      </w:r>
      <w:r>
        <w:rPr>
          <w:rFonts w:ascii="Times New Roman" w:hAnsi="Times New Roman"/>
          <w:sz w:val="24"/>
          <w:szCs w:val="24"/>
          <w:lang w:val="en-US"/>
        </w:rPr>
        <w:t xml:space="preserve">the </w:t>
      </w:r>
      <w:r w:rsidRPr="005011F1">
        <w:rPr>
          <w:rFonts w:ascii="Times New Roman" w:hAnsi="Times New Roman"/>
          <w:sz w:val="24"/>
          <w:szCs w:val="24"/>
          <w:lang w:val="en-US"/>
        </w:rPr>
        <w:t xml:space="preserve">management of the crisis at the EU level and </w:t>
      </w:r>
      <w:r>
        <w:rPr>
          <w:rFonts w:ascii="Times New Roman" w:hAnsi="Times New Roman"/>
          <w:sz w:val="24"/>
          <w:szCs w:val="24"/>
          <w:lang w:val="en-US"/>
        </w:rPr>
        <w:t xml:space="preserve">the </w:t>
      </w:r>
      <w:r w:rsidRPr="005011F1">
        <w:rPr>
          <w:rFonts w:ascii="Times New Roman" w:hAnsi="Times New Roman"/>
          <w:sz w:val="24"/>
          <w:szCs w:val="24"/>
          <w:lang w:val="en-US"/>
        </w:rPr>
        <w:t xml:space="preserve">enforcement of extreme right parties will facilitate </w:t>
      </w:r>
      <w:r>
        <w:rPr>
          <w:rFonts w:ascii="Times New Roman" w:hAnsi="Times New Roman"/>
          <w:sz w:val="24"/>
          <w:szCs w:val="24"/>
          <w:lang w:val="en-US"/>
        </w:rPr>
        <w:t>the understanding</w:t>
      </w:r>
      <w:r w:rsidRPr="005011F1">
        <w:rPr>
          <w:rFonts w:ascii="Times New Roman" w:hAnsi="Times New Roman"/>
          <w:sz w:val="24"/>
          <w:szCs w:val="24"/>
          <w:lang w:val="en-US"/>
        </w:rPr>
        <w:t xml:space="preserve"> </w:t>
      </w:r>
      <w:r>
        <w:rPr>
          <w:rFonts w:ascii="Times New Roman" w:hAnsi="Times New Roman"/>
          <w:sz w:val="24"/>
          <w:szCs w:val="24"/>
          <w:lang w:val="en-US"/>
        </w:rPr>
        <w:t xml:space="preserve">of </w:t>
      </w:r>
      <w:r w:rsidRPr="005011F1">
        <w:rPr>
          <w:rFonts w:ascii="Times New Roman" w:hAnsi="Times New Roman"/>
          <w:sz w:val="24"/>
          <w:szCs w:val="24"/>
          <w:lang w:val="en-US"/>
        </w:rPr>
        <w:t>the EU ‘</w:t>
      </w:r>
      <w:r w:rsidRPr="005011F1">
        <w:rPr>
          <w:rFonts w:ascii="Times New Roman" w:hAnsi="Times New Roman"/>
          <w:b/>
          <w:sz w:val="24"/>
          <w:szCs w:val="24"/>
          <w:lang w:val="en-US"/>
        </w:rPr>
        <w:t>responsibility role</w:t>
      </w:r>
      <w:r w:rsidRPr="005011F1">
        <w:rPr>
          <w:rFonts w:ascii="Times New Roman" w:hAnsi="Times New Roman"/>
          <w:sz w:val="24"/>
          <w:szCs w:val="24"/>
          <w:lang w:val="en-US"/>
        </w:rPr>
        <w:t xml:space="preserve">’ to enhance defending democracy. Since the </w:t>
      </w:r>
      <w:r>
        <w:rPr>
          <w:rFonts w:ascii="Times New Roman" w:hAnsi="Times New Roman"/>
          <w:sz w:val="24"/>
          <w:szCs w:val="24"/>
          <w:lang w:val="en-US"/>
        </w:rPr>
        <w:t xml:space="preserve">EU-imposed </w:t>
      </w:r>
      <w:r w:rsidRPr="005011F1">
        <w:rPr>
          <w:rFonts w:ascii="Times New Roman" w:hAnsi="Times New Roman"/>
          <w:sz w:val="24"/>
          <w:szCs w:val="24"/>
          <w:lang w:val="en-US"/>
        </w:rPr>
        <w:t>anti-crisis measures</w:t>
      </w:r>
      <w:r>
        <w:rPr>
          <w:rFonts w:ascii="Times New Roman" w:hAnsi="Times New Roman"/>
          <w:sz w:val="24"/>
          <w:szCs w:val="24"/>
          <w:lang w:val="en-US"/>
        </w:rPr>
        <w:t xml:space="preserve"> </w:t>
      </w:r>
      <w:r w:rsidRPr="005011F1">
        <w:rPr>
          <w:rFonts w:ascii="Times New Roman" w:hAnsi="Times New Roman"/>
          <w:sz w:val="24"/>
          <w:szCs w:val="24"/>
          <w:lang w:val="en-US"/>
        </w:rPr>
        <w:t>deform the national context</w:t>
      </w:r>
      <w:r>
        <w:rPr>
          <w:rFonts w:ascii="Times New Roman" w:hAnsi="Times New Roman"/>
          <w:sz w:val="24"/>
          <w:szCs w:val="24"/>
          <w:lang w:val="en-US"/>
        </w:rPr>
        <w:t>,</w:t>
      </w:r>
      <w:r w:rsidRPr="005011F1">
        <w:rPr>
          <w:rFonts w:ascii="Times New Roman" w:hAnsi="Times New Roman"/>
          <w:sz w:val="24"/>
          <w:szCs w:val="24"/>
          <w:lang w:val="en-US"/>
        </w:rPr>
        <w:t xml:space="preserve"> as governmental pa</w:t>
      </w:r>
      <w:r>
        <w:rPr>
          <w:rFonts w:ascii="Times New Roman" w:hAnsi="Times New Roman"/>
          <w:sz w:val="24"/>
          <w:szCs w:val="24"/>
          <w:lang w:val="en-US"/>
        </w:rPr>
        <w:t>rties ally themselves with these measures</w:t>
      </w:r>
      <w:r w:rsidRPr="005011F1">
        <w:rPr>
          <w:rFonts w:ascii="Times New Roman" w:hAnsi="Times New Roman"/>
          <w:sz w:val="24"/>
          <w:szCs w:val="24"/>
          <w:lang w:val="en-US"/>
        </w:rPr>
        <w:t xml:space="preserve">, opposition parties and parties outside of </w:t>
      </w:r>
      <w:r>
        <w:rPr>
          <w:rFonts w:ascii="Times New Roman" w:hAnsi="Times New Roman"/>
          <w:sz w:val="24"/>
          <w:szCs w:val="24"/>
          <w:lang w:val="en-US"/>
        </w:rPr>
        <w:t xml:space="preserve">the </w:t>
      </w:r>
      <w:r w:rsidRPr="005011F1">
        <w:rPr>
          <w:rFonts w:ascii="Times New Roman" w:hAnsi="Times New Roman"/>
          <w:sz w:val="24"/>
          <w:szCs w:val="24"/>
          <w:lang w:val="en-US"/>
        </w:rPr>
        <w:t>government react. The opportunity space</w:t>
      </w:r>
      <w:r>
        <w:rPr>
          <w:rFonts w:ascii="Times New Roman" w:hAnsi="Times New Roman"/>
          <w:sz w:val="24"/>
          <w:szCs w:val="24"/>
          <w:lang w:val="en-US"/>
        </w:rPr>
        <w:t>,</w:t>
      </w:r>
      <w:r w:rsidRPr="005011F1">
        <w:rPr>
          <w:rFonts w:ascii="Times New Roman" w:hAnsi="Times New Roman"/>
          <w:sz w:val="24"/>
          <w:szCs w:val="24"/>
          <w:lang w:val="en-US"/>
        </w:rPr>
        <w:t xml:space="preserve"> which opens for the extreme right</w:t>
      </w:r>
      <w:r>
        <w:rPr>
          <w:rFonts w:ascii="Times New Roman" w:hAnsi="Times New Roman"/>
          <w:sz w:val="24"/>
          <w:szCs w:val="24"/>
          <w:lang w:val="en-US"/>
        </w:rPr>
        <w:t>,</w:t>
      </w:r>
      <w:r w:rsidRPr="005011F1">
        <w:rPr>
          <w:rFonts w:ascii="Times New Roman" w:hAnsi="Times New Roman"/>
          <w:sz w:val="24"/>
          <w:szCs w:val="24"/>
          <w:lang w:val="en-US"/>
        </w:rPr>
        <w:t xml:space="preserve"> </w:t>
      </w:r>
      <w:r>
        <w:rPr>
          <w:rFonts w:ascii="Times New Roman" w:hAnsi="Times New Roman"/>
          <w:sz w:val="24"/>
          <w:szCs w:val="24"/>
          <w:lang w:val="en-US"/>
        </w:rPr>
        <w:t xml:space="preserve">partially </w:t>
      </w:r>
      <w:r w:rsidRPr="005011F1">
        <w:rPr>
          <w:rFonts w:ascii="Times New Roman" w:hAnsi="Times New Roman"/>
          <w:sz w:val="24"/>
          <w:szCs w:val="24"/>
          <w:lang w:val="en-US"/>
        </w:rPr>
        <w:t>finds its origins in the EU handling of the crisis. As a logic</w:t>
      </w:r>
      <w:r>
        <w:rPr>
          <w:rFonts w:ascii="Times New Roman" w:hAnsi="Times New Roman"/>
          <w:sz w:val="24"/>
          <w:szCs w:val="24"/>
          <w:lang w:val="en-US"/>
        </w:rPr>
        <w:t>al</w:t>
      </w:r>
      <w:r w:rsidRPr="005011F1">
        <w:rPr>
          <w:rFonts w:ascii="Times New Roman" w:hAnsi="Times New Roman"/>
          <w:sz w:val="24"/>
          <w:szCs w:val="24"/>
          <w:lang w:val="en-US"/>
        </w:rPr>
        <w:t xml:space="preserve"> consequence, it would not be </w:t>
      </w:r>
      <w:r>
        <w:rPr>
          <w:rFonts w:ascii="Times New Roman" w:hAnsi="Times New Roman"/>
          <w:sz w:val="24"/>
          <w:szCs w:val="24"/>
          <w:lang w:val="en-US"/>
        </w:rPr>
        <w:t xml:space="preserve">an </w:t>
      </w:r>
      <w:r w:rsidRPr="005011F1">
        <w:rPr>
          <w:rFonts w:ascii="Times New Roman" w:hAnsi="Times New Roman"/>
          <w:sz w:val="24"/>
          <w:szCs w:val="24"/>
          <w:lang w:val="en-US"/>
        </w:rPr>
        <w:t>exaggerati</w:t>
      </w:r>
      <w:r>
        <w:rPr>
          <w:rFonts w:ascii="Times New Roman" w:hAnsi="Times New Roman"/>
          <w:sz w:val="24"/>
          <w:szCs w:val="24"/>
          <w:lang w:val="en-US"/>
        </w:rPr>
        <w:t>on</w:t>
      </w:r>
      <w:r w:rsidRPr="005011F1">
        <w:rPr>
          <w:rFonts w:ascii="Times New Roman" w:hAnsi="Times New Roman"/>
          <w:sz w:val="24"/>
          <w:szCs w:val="24"/>
          <w:lang w:val="en-US"/>
        </w:rPr>
        <w:t xml:space="preserve"> to argue that the EU has a causal responsi</w:t>
      </w:r>
      <w:r>
        <w:rPr>
          <w:rFonts w:ascii="Times New Roman" w:hAnsi="Times New Roman"/>
          <w:sz w:val="24"/>
          <w:szCs w:val="24"/>
          <w:lang w:val="en-US"/>
        </w:rPr>
        <w:t>bility in implementing its anti-</w:t>
      </w:r>
      <w:r w:rsidRPr="005011F1">
        <w:rPr>
          <w:rFonts w:ascii="Times New Roman" w:hAnsi="Times New Roman"/>
          <w:sz w:val="24"/>
          <w:szCs w:val="24"/>
          <w:lang w:val="en-US"/>
        </w:rPr>
        <w:t xml:space="preserve">extremist institutional design. </w:t>
      </w:r>
    </w:p>
    <w:p w:rsidR="00ED7740" w:rsidRPr="00941142" w:rsidRDefault="00ED7740" w:rsidP="00740A9D">
      <w:pPr>
        <w:spacing w:line="360" w:lineRule="auto"/>
        <w:jc w:val="both"/>
        <w:rPr>
          <w:rFonts w:ascii="Times New Roman" w:hAnsi="Times New Roman"/>
          <w:sz w:val="24"/>
          <w:szCs w:val="24"/>
          <w:lang w:val="en-US"/>
        </w:rPr>
      </w:pPr>
      <w:r w:rsidRPr="00941142">
        <w:rPr>
          <w:rFonts w:ascii="Times New Roman" w:hAnsi="Times New Roman"/>
          <w:sz w:val="24"/>
          <w:szCs w:val="24"/>
          <w:lang w:val="en-US"/>
        </w:rPr>
        <w:t xml:space="preserve">Secondly, the EU has </w:t>
      </w:r>
      <w:r w:rsidRPr="00941142">
        <w:rPr>
          <w:rFonts w:ascii="Times New Roman" w:hAnsi="Times New Roman"/>
          <w:b/>
          <w:sz w:val="24"/>
          <w:szCs w:val="24"/>
          <w:lang w:val="en-US"/>
        </w:rPr>
        <w:t>a codification mission,</w:t>
      </w:r>
      <w:r w:rsidRPr="00941142">
        <w:rPr>
          <w:rFonts w:ascii="Times New Roman" w:hAnsi="Times New Roman"/>
          <w:sz w:val="24"/>
          <w:szCs w:val="24"/>
          <w:lang w:val="en-US"/>
        </w:rPr>
        <w:t xml:space="preserve"> given the extremely varied set of rule</w:t>
      </w:r>
      <w:r>
        <w:rPr>
          <w:rFonts w:ascii="Times New Roman" w:hAnsi="Times New Roman"/>
          <w:sz w:val="24"/>
          <w:szCs w:val="24"/>
          <w:lang w:val="en-US"/>
        </w:rPr>
        <w:t>s</w:t>
      </w:r>
      <w:r w:rsidRPr="00941142">
        <w:rPr>
          <w:rFonts w:ascii="Times New Roman" w:hAnsi="Times New Roman"/>
          <w:sz w:val="24"/>
          <w:szCs w:val="24"/>
          <w:lang w:val="en-US"/>
        </w:rPr>
        <w:t xml:space="preserve"> and institutions through which the principle of militant democracy is put into practice in national legal systems. It can be assumed that the higher the level of convergence between national militant restrictions, the higher the chances for a positive interstate interaction at a horizontal level. Member state A will logically become more confident to borrow or exclude defending mechanisms which have performed well in Member state B. </w:t>
      </w:r>
    </w:p>
    <w:p w:rsidR="00ED7740" w:rsidRDefault="00ED7740" w:rsidP="00740A9D">
      <w:pPr>
        <w:spacing w:line="360" w:lineRule="auto"/>
        <w:jc w:val="both"/>
        <w:rPr>
          <w:rFonts w:ascii="Times New Roman" w:hAnsi="Times New Roman"/>
          <w:sz w:val="24"/>
          <w:szCs w:val="24"/>
          <w:shd w:val="clear" w:color="auto" w:fill="FFFFFF"/>
          <w:lang w:val="en-US"/>
        </w:rPr>
      </w:pPr>
      <w:r w:rsidRPr="00541BA3">
        <w:rPr>
          <w:rFonts w:ascii="Times New Roman" w:hAnsi="Times New Roman"/>
          <w:sz w:val="24"/>
          <w:szCs w:val="24"/>
          <w:shd w:val="clear" w:color="auto" w:fill="FFFFFF"/>
          <w:lang w:val="en-US"/>
        </w:rPr>
        <w:t xml:space="preserve">Keeping as a guideline the fact that Europeanization is a two way process, I will proceed </w:t>
      </w:r>
      <w:r>
        <w:rPr>
          <w:rFonts w:ascii="Times New Roman" w:hAnsi="Times New Roman"/>
          <w:sz w:val="24"/>
          <w:szCs w:val="24"/>
          <w:shd w:val="clear" w:color="auto" w:fill="FFFFFF"/>
          <w:lang w:val="en-US"/>
        </w:rPr>
        <w:t>to</w:t>
      </w:r>
      <w:r w:rsidRPr="00541BA3">
        <w:rPr>
          <w:rFonts w:ascii="Times New Roman" w:hAnsi="Times New Roman"/>
          <w:sz w:val="24"/>
          <w:szCs w:val="24"/>
          <w:shd w:val="clear" w:color="auto" w:fill="FFFFFF"/>
          <w:lang w:val="en-US"/>
        </w:rPr>
        <w:t xml:space="preserve"> a two way analysis of the dialogue between national militant defending democracies and the EU community of values</w:t>
      </w:r>
      <w:r>
        <w:rPr>
          <w:rFonts w:ascii="Times New Roman" w:hAnsi="Times New Roman"/>
          <w:sz w:val="24"/>
          <w:szCs w:val="24"/>
          <w:shd w:val="clear" w:color="auto" w:fill="FFFFFF"/>
          <w:lang w:val="en-US"/>
        </w:rPr>
        <w:t>.</w:t>
      </w:r>
      <w:r w:rsidRPr="00541BA3">
        <w:rPr>
          <w:rFonts w:ascii="Times New Roman" w:hAnsi="Times New Roman"/>
          <w:sz w:val="24"/>
          <w:szCs w:val="24"/>
          <w:shd w:val="clear" w:color="auto" w:fill="FFFFFF"/>
          <w:lang w:val="en-US"/>
        </w:rPr>
        <w:t xml:space="preserve"> Seen from a bottom</w:t>
      </w:r>
      <w:r>
        <w:rPr>
          <w:rFonts w:ascii="Times New Roman" w:hAnsi="Times New Roman"/>
          <w:sz w:val="24"/>
          <w:szCs w:val="24"/>
          <w:shd w:val="clear" w:color="auto" w:fill="FFFFFF"/>
          <w:lang w:val="en-US"/>
        </w:rPr>
        <w:t>-</w:t>
      </w:r>
      <w:r w:rsidRPr="00541BA3">
        <w:rPr>
          <w:rFonts w:ascii="Times New Roman" w:hAnsi="Times New Roman"/>
          <w:sz w:val="24"/>
          <w:szCs w:val="24"/>
          <w:shd w:val="clear" w:color="auto" w:fill="FFFFFF"/>
          <w:lang w:val="en-US"/>
        </w:rPr>
        <w:t xml:space="preserve">up approach: how </w:t>
      </w:r>
      <w:r>
        <w:rPr>
          <w:rFonts w:ascii="Times New Roman" w:hAnsi="Times New Roman"/>
          <w:sz w:val="24"/>
          <w:szCs w:val="24"/>
          <w:shd w:val="clear" w:color="auto" w:fill="FFFFFF"/>
          <w:lang w:val="en-US"/>
        </w:rPr>
        <w:t xml:space="preserve">can </w:t>
      </w:r>
      <w:r w:rsidRPr="00541BA3">
        <w:rPr>
          <w:rFonts w:ascii="Times New Roman" w:hAnsi="Times New Roman"/>
          <w:sz w:val="24"/>
          <w:szCs w:val="24"/>
          <w:shd w:val="clear" w:color="auto" w:fill="FFFFFF"/>
          <w:lang w:val="en-US"/>
        </w:rPr>
        <w:t>different ‘national defending democracies’ or ‘absent national democracies’ affect the policy of the EU in intervening for combating extremism? How does the depth of EU integration matter, in reverse, for Member States to commit to EU democratic values?</w:t>
      </w:r>
    </w:p>
    <w:p w:rsidR="00ED7740" w:rsidRPr="00B430FC" w:rsidRDefault="00ED7740" w:rsidP="00740A9D">
      <w:pPr>
        <w:spacing w:line="36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Based on the</w:t>
      </w:r>
      <w:r w:rsidRPr="00D82150">
        <w:rPr>
          <w:rFonts w:ascii="Times New Roman" w:hAnsi="Times New Roman"/>
          <w:sz w:val="24"/>
          <w:szCs w:val="24"/>
          <w:shd w:val="clear" w:color="auto" w:fill="FFFFFF"/>
          <w:lang w:val="en-US"/>
        </w:rPr>
        <w:t xml:space="preserve"> short literature review</w:t>
      </w:r>
      <w:r>
        <w:rPr>
          <w:rFonts w:ascii="Times New Roman" w:hAnsi="Times New Roman"/>
          <w:sz w:val="24"/>
          <w:szCs w:val="24"/>
          <w:shd w:val="clear" w:color="auto" w:fill="FFFFFF"/>
          <w:lang w:val="en-US"/>
        </w:rPr>
        <w:t xml:space="preserve"> on defending democracy and the theoretical framework of Europeanization</w:t>
      </w:r>
      <w:r w:rsidRPr="00D82150">
        <w:rPr>
          <w:rFonts w:ascii="Times New Roman" w:hAnsi="Times New Roman"/>
          <w:sz w:val="24"/>
          <w:szCs w:val="24"/>
          <w:shd w:val="clear" w:color="auto" w:fill="FFFFFF"/>
          <w:lang w:val="en-US"/>
        </w:rPr>
        <w:t>, one is able to draw candidate explanations for the observed variations in</w:t>
      </w:r>
      <w:r>
        <w:rPr>
          <w:rFonts w:ascii="Times New Roman" w:hAnsi="Times New Roman"/>
          <w:sz w:val="24"/>
          <w:szCs w:val="24"/>
          <w:shd w:val="clear" w:color="auto" w:fill="FFFFFF"/>
          <w:lang w:val="en-US"/>
        </w:rPr>
        <w:t xml:space="preserve"> national defending democracies. </w:t>
      </w:r>
      <w:r w:rsidRPr="00B430FC">
        <w:rPr>
          <w:rFonts w:ascii="Times New Roman" w:hAnsi="Times New Roman"/>
          <w:sz w:val="24"/>
          <w:szCs w:val="24"/>
          <w:lang w:val="en-US"/>
        </w:rPr>
        <w:t xml:space="preserve">A logical assumption could be that </w:t>
      </w:r>
      <w:r w:rsidRPr="00B430FC">
        <w:rPr>
          <w:rFonts w:ascii="Times New Roman" w:hAnsi="Times New Roman"/>
          <w:sz w:val="24"/>
          <w:szCs w:val="24"/>
          <w:shd w:val="clear" w:color="auto" w:fill="FFFFFF"/>
          <w:lang w:val="en-US"/>
        </w:rPr>
        <w:t>the stronger the adherence of a Member State to the EU democratic values, the higher the probability of adequate defending mechanisms at the national level (downloading process of Europeanization). Similarly and, in reverse, the higher the danger of extremism at a national level (crisis moments) and the more shocking to the public the extreme right parties’ activity, the higher the probability for the EU to develop stricter defending mechanisms at the EU level (uploading process of Europeanization).</w:t>
      </w:r>
    </w:p>
    <w:p w:rsidR="00ED7740" w:rsidRPr="00B430FC" w:rsidRDefault="00ED7740" w:rsidP="00740A9D">
      <w:pPr>
        <w:spacing w:line="360" w:lineRule="auto"/>
        <w:jc w:val="both"/>
        <w:rPr>
          <w:rFonts w:ascii="Times New Roman" w:hAnsi="Times New Roman"/>
          <w:sz w:val="24"/>
          <w:szCs w:val="24"/>
          <w:lang w:val="en-US"/>
        </w:rPr>
      </w:pPr>
      <w:r w:rsidRPr="00B430FC">
        <w:rPr>
          <w:rFonts w:ascii="Times New Roman" w:hAnsi="Times New Roman"/>
          <w:sz w:val="24"/>
          <w:szCs w:val="24"/>
          <w:lang w:val="en-US"/>
        </w:rPr>
        <w:t xml:space="preserve">The Europeanization literature and the debate on </w:t>
      </w:r>
      <w:r w:rsidRPr="00B430FC">
        <w:rPr>
          <w:rFonts w:ascii="Times New Roman" w:hAnsi="Times New Roman"/>
          <w:b/>
          <w:sz w:val="24"/>
          <w:szCs w:val="24"/>
          <w:lang w:val="en-US"/>
        </w:rPr>
        <w:t>whether Europeanization is constantly increasing over time</w:t>
      </w:r>
      <w:r w:rsidRPr="00B430FC">
        <w:rPr>
          <w:rFonts w:ascii="Times New Roman" w:hAnsi="Times New Roman"/>
          <w:sz w:val="24"/>
          <w:szCs w:val="24"/>
          <w:lang w:val="en-US"/>
        </w:rPr>
        <w:t xml:space="preserve">, along with the handling of the extreme right parties, could help us formulate the following hypothesis: </w:t>
      </w:r>
    </w:p>
    <w:p w:rsidR="00ED7740" w:rsidRPr="004A6B51" w:rsidRDefault="00ED7740" w:rsidP="00740A9D">
      <w:pPr>
        <w:spacing w:line="360" w:lineRule="auto"/>
        <w:jc w:val="both"/>
        <w:rPr>
          <w:rFonts w:ascii="Times New Roman" w:hAnsi="Times New Roman"/>
          <w:sz w:val="24"/>
          <w:szCs w:val="24"/>
          <w:lang w:val="en-US"/>
        </w:rPr>
      </w:pPr>
      <w:r w:rsidRPr="004A6B51">
        <w:rPr>
          <w:rFonts w:ascii="Times New Roman" w:hAnsi="Times New Roman"/>
          <w:b/>
          <w:sz w:val="24"/>
          <w:szCs w:val="24"/>
          <w:lang w:val="en-US"/>
        </w:rPr>
        <w:t>Principal Hypothesis</w:t>
      </w:r>
      <w:r w:rsidRPr="004A6B51">
        <w:rPr>
          <w:rFonts w:ascii="Times New Roman" w:hAnsi="Times New Roman"/>
          <w:sz w:val="24"/>
          <w:szCs w:val="24"/>
          <w:lang w:val="en-US"/>
        </w:rPr>
        <w:t xml:space="preserve">: The level of Europeanized defensive mechanisms dealing with extremism is increasing over time and the anti-extremist institutional design </w:t>
      </w:r>
      <w:r>
        <w:rPr>
          <w:rFonts w:ascii="Times New Roman" w:hAnsi="Times New Roman"/>
          <w:sz w:val="24"/>
          <w:szCs w:val="24"/>
          <w:lang w:val="en-US"/>
        </w:rPr>
        <w:t xml:space="preserve">is </w:t>
      </w:r>
      <w:r w:rsidRPr="004A6B51">
        <w:rPr>
          <w:rFonts w:ascii="Times New Roman" w:hAnsi="Times New Roman"/>
          <w:sz w:val="24"/>
          <w:szCs w:val="24"/>
          <w:lang w:val="en-US"/>
        </w:rPr>
        <w:t>becom</w:t>
      </w:r>
      <w:r>
        <w:rPr>
          <w:rFonts w:ascii="Times New Roman" w:hAnsi="Times New Roman"/>
          <w:sz w:val="24"/>
          <w:szCs w:val="24"/>
          <w:lang w:val="en-US"/>
        </w:rPr>
        <w:t>ing</w:t>
      </w:r>
      <w:r w:rsidRPr="004A6B51">
        <w:rPr>
          <w:rFonts w:ascii="Times New Roman" w:hAnsi="Times New Roman"/>
          <w:sz w:val="24"/>
          <w:szCs w:val="24"/>
          <w:lang w:val="en-US"/>
        </w:rPr>
        <w:t xml:space="preserve"> more sophisticated. </w:t>
      </w:r>
    </w:p>
    <w:p w:rsidR="00ED7740" w:rsidRPr="006616D6" w:rsidRDefault="00ED7740" w:rsidP="00740A9D">
      <w:pPr>
        <w:spacing w:line="360" w:lineRule="auto"/>
        <w:jc w:val="both"/>
        <w:rPr>
          <w:rFonts w:ascii="Times New Roman" w:hAnsi="Times New Roman"/>
          <w:sz w:val="24"/>
          <w:szCs w:val="24"/>
          <w:lang w:val="en-US"/>
        </w:rPr>
      </w:pPr>
      <w:r w:rsidRPr="006616D6">
        <w:rPr>
          <w:rFonts w:ascii="Times New Roman" w:hAnsi="Times New Roman"/>
          <w:sz w:val="24"/>
          <w:szCs w:val="24"/>
          <w:lang w:val="en-US"/>
        </w:rPr>
        <w:t>Another discussion on the governance of the two-way process of Europeanization is identifying the significance of each actor’s role (government, party leaders, non</w:t>
      </w:r>
      <w:r>
        <w:rPr>
          <w:rFonts w:ascii="Times New Roman" w:hAnsi="Times New Roman"/>
          <w:sz w:val="24"/>
          <w:szCs w:val="24"/>
          <w:lang w:val="en-US"/>
        </w:rPr>
        <w:t>-</w:t>
      </w:r>
      <w:r w:rsidRPr="006616D6">
        <w:rPr>
          <w:rFonts w:ascii="Times New Roman" w:hAnsi="Times New Roman"/>
          <w:sz w:val="24"/>
          <w:szCs w:val="24"/>
          <w:lang w:val="en-US"/>
        </w:rPr>
        <w:t>partisan elites</w:t>
      </w:r>
      <w:r>
        <w:rPr>
          <w:rFonts w:ascii="Times New Roman" w:hAnsi="Times New Roman"/>
          <w:sz w:val="24"/>
          <w:szCs w:val="24"/>
          <w:lang w:val="en-US"/>
        </w:rPr>
        <w:t>,</w:t>
      </w:r>
      <w:r w:rsidRPr="006616D6">
        <w:rPr>
          <w:rFonts w:ascii="Times New Roman" w:hAnsi="Times New Roman"/>
          <w:sz w:val="24"/>
          <w:szCs w:val="24"/>
          <w:lang w:val="en-US"/>
        </w:rPr>
        <w:t xml:space="preserve"> such as the judiciary</w:t>
      </w:r>
      <w:r>
        <w:rPr>
          <w:rFonts w:ascii="Times New Roman" w:hAnsi="Times New Roman"/>
          <w:sz w:val="24"/>
          <w:szCs w:val="24"/>
          <w:lang w:val="en-US"/>
        </w:rPr>
        <w:t>,</w:t>
      </w:r>
      <w:r w:rsidRPr="006616D6">
        <w:rPr>
          <w:rFonts w:ascii="Times New Roman" w:hAnsi="Times New Roman"/>
          <w:sz w:val="24"/>
          <w:szCs w:val="24"/>
          <w:lang w:val="en-US"/>
        </w:rPr>
        <w:t xml:space="preserve"> and public opinion) behind this process. A second hypothesis to test could be the greater role of some of the public actors in the uploading and downloading process. </w:t>
      </w:r>
    </w:p>
    <w:p w:rsidR="00ED7740" w:rsidRPr="00DF6A90" w:rsidRDefault="00ED7740" w:rsidP="00740A9D">
      <w:pPr>
        <w:spacing w:line="360" w:lineRule="auto"/>
        <w:jc w:val="both"/>
        <w:rPr>
          <w:rFonts w:ascii="Times New Roman" w:hAnsi="Times New Roman"/>
          <w:sz w:val="24"/>
          <w:szCs w:val="24"/>
          <w:shd w:val="clear" w:color="auto" w:fill="FFFFFF"/>
          <w:lang w:val="en-US"/>
        </w:rPr>
      </w:pPr>
      <w:r w:rsidRPr="00DF6A90">
        <w:rPr>
          <w:rFonts w:ascii="Times New Roman" w:hAnsi="Times New Roman"/>
          <w:b/>
          <w:sz w:val="24"/>
          <w:szCs w:val="24"/>
          <w:lang w:val="en-US"/>
        </w:rPr>
        <w:t>Subsidiary Hypothesis</w:t>
      </w:r>
      <w:r w:rsidRPr="00DF6A90">
        <w:rPr>
          <w:rFonts w:ascii="Times New Roman" w:hAnsi="Times New Roman"/>
          <w:sz w:val="24"/>
          <w:szCs w:val="24"/>
          <w:lang w:val="en-US"/>
        </w:rPr>
        <w:t xml:space="preserve">: The national government’s policy plays a more influential role (than public opinion or non partisan elites) in the process of downloading and uploading defensive mechanisms. </w:t>
      </w:r>
    </w:p>
    <w:p w:rsidR="00ED7740" w:rsidRPr="007519A0" w:rsidRDefault="00ED7740" w:rsidP="00740A9D">
      <w:pPr>
        <w:spacing w:line="360" w:lineRule="auto"/>
        <w:jc w:val="both"/>
        <w:rPr>
          <w:rFonts w:ascii="Times New Roman" w:hAnsi="Times New Roman"/>
          <w:color w:val="1F497D"/>
          <w:sz w:val="24"/>
          <w:szCs w:val="24"/>
          <w:shd w:val="clear" w:color="auto" w:fill="FFFFFF"/>
          <w:lang w:val="en-US"/>
        </w:rPr>
      </w:pPr>
    </w:p>
    <w:p w:rsidR="00ED7740" w:rsidRDefault="00ED7740" w:rsidP="00740A9D">
      <w:pPr>
        <w:spacing w:line="360" w:lineRule="auto"/>
        <w:rPr>
          <w:rFonts w:ascii="Times New Roman" w:hAnsi="Times New Roman"/>
          <w:b/>
          <w:sz w:val="24"/>
          <w:szCs w:val="24"/>
          <w:lang w:val="en-US"/>
        </w:rPr>
      </w:pPr>
      <w:r w:rsidRPr="004B469F">
        <w:rPr>
          <w:rFonts w:ascii="Times New Roman" w:hAnsi="Times New Roman"/>
          <w:b/>
          <w:sz w:val="24"/>
          <w:szCs w:val="24"/>
          <w:lang w:val="en-US"/>
        </w:rPr>
        <w:t xml:space="preserve">A closer look </w:t>
      </w:r>
      <w:r>
        <w:rPr>
          <w:rFonts w:ascii="Times New Roman" w:hAnsi="Times New Roman"/>
          <w:b/>
          <w:sz w:val="24"/>
          <w:szCs w:val="24"/>
          <w:lang w:val="en-US"/>
        </w:rPr>
        <w:t>at</w:t>
      </w:r>
      <w:r w:rsidRPr="004B469F">
        <w:rPr>
          <w:rFonts w:ascii="Times New Roman" w:hAnsi="Times New Roman"/>
          <w:b/>
          <w:sz w:val="24"/>
          <w:szCs w:val="24"/>
          <w:lang w:val="en-US"/>
        </w:rPr>
        <w:t xml:space="preserve"> possible case studies </w:t>
      </w:r>
    </w:p>
    <w:p w:rsidR="00ED7740" w:rsidRPr="007941F4" w:rsidRDefault="00ED7740" w:rsidP="00740A9D">
      <w:pPr>
        <w:spacing w:line="360" w:lineRule="auto"/>
        <w:rPr>
          <w:rFonts w:ascii="Times New Roman" w:hAnsi="Times New Roman"/>
          <w:b/>
          <w:i/>
          <w:sz w:val="24"/>
          <w:szCs w:val="24"/>
          <w:lang w:val="en-US"/>
        </w:rPr>
      </w:pPr>
      <w:r w:rsidRPr="007941F4">
        <w:rPr>
          <w:rFonts w:ascii="Times New Roman" w:hAnsi="Times New Roman"/>
          <w:b/>
          <w:i/>
          <w:sz w:val="24"/>
          <w:szCs w:val="24"/>
          <w:lang w:val="en-US"/>
        </w:rPr>
        <w:t>The weaknesses of autonomous national responses</w:t>
      </w:r>
    </w:p>
    <w:p w:rsidR="00ED7740" w:rsidRPr="00BC563A" w:rsidRDefault="00ED7740" w:rsidP="00740A9D">
      <w:pPr>
        <w:spacing w:line="360" w:lineRule="auto"/>
        <w:jc w:val="both"/>
        <w:rPr>
          <w:rFonts w:ascii="Times New Roman" w:hAnsi="Times New Roman"/>
          <w:sz w:val="24"/>
          <w:szCs w:val="24"/>
          <w:lang w:val="en-US"/>
        </w:rPr>
      </w:pPr>
      <w:r>
        <w:rPr>
          <w:rFonts w:ascii="Times New Roman" w:hAnsi="Times New Roman"/>
          <w:sz w:val="24"/>
          <w:szCs w:val="24"/>
          <w:lang w:val="en-US"/>
        </w:rPr>
        <w:t>A few</w:t>
      </w:r>
      <w:r w:rsidRPr="00BC563A">
        <w:rPr>
          <w:rFonts w:ascii="Times New Roman" w:hAnsi="Times New Roman"/>
          <w:sz w:val="24"/>
          <w:szCs w:val="24"/>
          <w:lang w:val="en-US"/>
        </w:rPr>
        <w:t xml:space="preserve"> </w:t>
      </w:r>
      <w:r>
        <w:rPr>
          <w:rFonts w:ascii="Times New Roman" w:hAnsi="Times New Roman"/>
          <w:sz w:val="24"/>
          <w:szCs w:val="24"/>
          <w:lang w:val="en-US"/>
        </w:rPr>
        <w:t xml:space="preserve">recent examples </w:t>
      </w:r>
      <w:r w:rsidRPr="00BC563A">
        <w:rPr>
          <w:rFonts w:ascii="Times New Roman" w:hAnsi="Times New Roman"/>
          <w:sz w:val="24"/>
          <w:szCs w:val="24"/>
          <w:lang w:val="en-US"/>
        </w:rPr>
        <w:t>will help us demonstrat</w:t>
      </w:r>
      <w:r>
        <w:rPr>
          <w:rFonts w:ascii="Times New Roman" w:hAnsi="Times New Roman"/>
          <w:sz w:val="24"/>
          <w:szCs w:val="24"/>
          <w:lang w:val="en-US"/>
        </w:rPr>
        <w:t>e the complexity of applying the existing de</w:t>
      </w:r>
      <w:r w:rsidRPr="00BC563A">
        <w:rPr>
          <w:rFonts w:ascii="Times New Roman" w:hAnsi="Times New Roman"/>
          <w:sz w:val="24"/>
          <w:szCs w:val="24"/>
          <w:lang w:val="en-US"/>
        </w:rPr>
        <w:t>fending democracies</w:t>
      </w:r>
      <w:r>
        <w:rPr>
          <w:rFonts w:ascii="Times New Roman" w:hAnsi="Times New Roman"/>
          <w:sz w:val="24"/>
          <w:szCs w:val="24"/>
          <w:lang w:val="en-US"/>
        </w:rPr>
        <w:t xml:space="preserve"> at a national level</w:t>
      </w:r>
      <w:r w:rsidRPr="00BC563A">
        <w:rPr>
          <w:rFonts w:ascii="Times New Roman" w:hAnsi="Times New Roman"/>
          <w:sz w:val="24"/>
          <w:szCs w:val="24"/>
          <w:lang w:val="en-US"/>
        </w:rPr>
        <w:t xml:space="preserve">. </w:t>
      </w:r>
      <w:r>
        <w:rPr>
          <w:rFonts w:ascii="Times New Roman" w:hAnsi="Times New Roman"/>
          <w:sz w:val="24"/>
          <w:szCs w:val="24"/>
          <w:lang w:val="en-US"/>
        </w:rPr>
        <w:t xml:space="preserve">The comparison between the German case and the Greek case reveals a difference in their existing national defensiveness but not necessarily in the adequacy of their responses towards extremism. In the first case, an impressively advanced defending constitutional framework exists and a greater judicial interventionism can be observed. In contrast, in the second case, the existing institutional framework passes solely through the criminal law channel –rather than the constitutional one- and the judiciary seems to be characterised by a relative inertia. These cases could be equally interesting in their variation of the political actor’s size and power: although the Golden Dawn has significantly perturbed the political parties’ configuration in Greece, the NPD is currently far from influencing the German political equilibrium.  </w:t>
      </w:r>
    </w:p>
    <w:p w:rsidR="00ED7740" w:rsidRPr="00BC563A" w:rsidRDefault="00ED7740" w:rsidP="00740A9D">
      <w:pPr>
        <w:spacing w:line="360" w:lineRule="auto"/>
        <w:jc w:val="both"/>
        <w:rPr>
          <w:rFonts w:ascii="Times New Roman" w:hAnsi="Times New Roman"/>
          <w:sz w:val="24"/>
          <w:szCs w:val="24"/>
          <w:lang w:val="en-US"/>
        </w:rPr>
      </w:pPr>
      <w:r w:rsidRPr="00045C4C">
        <w:rPr>
          <w:rFonts w:ascii="Times New Roman" w:hAnsi="Times New Roman"/>
          <w:sz w:val="24"/>
          <w:szCs w:val="24"/>
          <w:lang w:val="en-US"/>
        </w:rPr>
        <w:t xml:space="preserve">In </w:t>
      </w:r>
      <w:r w:rsidRPr="00BC563A">
        <w:rPr>
          <w:rFonts w:ascii="Times New Roman" w:hAnsi="Times New Roman"/>
          <w:b/>
          <w:sz w:val="24"/>
          <w:szCs w:val="24"/>
          <w:lang w:val="en-US"/>
        </w:rPr>
        <w:t>Germany</w:t>
      </w:r>
      <w:r w:rsidRPr="00045C4C">
        <w:rPr>
          <w:rFonts w:ascii="Times New Roman" w:hAnsi="Times New Roman"/>
          <w:sz w:val="24"/>
          <w:szCs w:val="24"/>
          <w:lang w:val="en-US"/>
        </w:rPr>
        <w:t xml:space="preserve">, a debate over NPD’s ban has </w:t>
      </w:r>
      <w:r>
        <w:rPr>
          <w:rFonts w:ascii="Times New Roman" w:hAnsi="Times New Roman"/>
          <w:sz w:val="24"/>
          <w:szCs w:val="24"/>
          <w:lang w:val="en-US"/>
        </w:rPr>
        <w:t>existed for</w:t>
      </w:r>
      <w:r w:rsidRPr="00045C4C">
        <w:rPr>
          <w:rFonts w:ascii="Times New Roman" w:hAnsi="Times New Roman"/>
          <w:sz w:val="24"/>
          <w:szCs w:val="24"/>
          <w:lang w:val="en-US"/>
        </w:rPr>
        <w:t xml:space="preserve"> </w:t>
      </w:r>
      <w:r>
        <w:rPr>
          <w:rFonts w:ascii="Times New Roman" w:hAnsi="Times New Roman"/>
          <w:sz w:val="24"/>
          <w:szCs w:val="24"/>
          <w:lang w:val="en-US"/>
        </w:rPr>
        <w:t xml:space="preserve">many </w:t>
      </w:r>
      <w:r w:rsidRPr="00045C4C">
        <w:rPr>
          <w:rFonts w:ascii="Times New Roman" w:hAnsi="Times New Roman"/>
          <w:sz w:val="24"/>
          <w:szCs w:val="24"/>
          <w:lang w:val="en-US"/>
        </w:rPr>
        <w:t xml:space="preserve">years.  </w:t>
      </w:r>
      <w:r w:rsidRPr="00BC563A">
        <w:rPr>
          <w:rFonts w:ascii="Times New Roman" w:hAnsi="Times New Roman"/>
          <w:sz w:val="24"/>
          <w:szCs w:val="24"/>
          <w:lang w:val="en-US"/>
        </w:rPr>
        <w:t>A previous attempt to ban the far-right party failed 10 years ago</w:t>
      </w:r>
      <w:r w:rsidRPr="00CB6597">
        <w:rPr>
          <w:rFonts w:ascii="Times New Roman" w:hAnsi="Times New Roman"/>
          <w:sz w:val="24"/>
          <w:szCs w:val="24"/>
          <w:lang w:val="en-US"/>
        </w:rPr>
        <w:t xml:space="preserve">. In 2003, an application was rejected </w:t>
      </w:r>
      <w:r w:rsidRPr="00621974">
        <w:rPr>
          <w:rFonts w:ascii="Times New Roman" w:hAnsi="Times New Roman"/>
          <w:sz w:val="24"/>
          <w:szCs w:val="24"/>
          <w:lang w:val="en-US"/>
        </w:rPr>
        <w:t xml:space="preserve">after </w:t>
      </w:r>
      <w:r>
        <w:rPr>
          <w:rFonts w:ascii="Times New Roman" w:hAnsi="Times New Roman"/>
          <w:sz w:val="24"/>
          <w:szCs w:val="24"/>
          <w:lang w:val="en-US"/>
        </w:rPr>
        <w:t xml:space="preserve">the point was raised </w:t>
      </w:r>
      <w:r w:rsidRPr="00CB6597">
        <w:rPr>
          <w:rFonts w:ascii="Times New Roman" w:hAnsi="Times New Roman"/>
          <w:sz w:val="24"/>
          <w:szCs w:val="24"/>
          <w:lang w:val="en-US"/>
        </w:rPr>
        <w:t>that 30 out of 200 members of the NPD leadership had been informants paid for by the state: some judges felt that this invalidated the evidence presented by the applicants.</w:t>
      </w:r>
      <w:r>
        <w:rPr>
          <w:rFonts w:ascii="Times New Roman" w:hAnsi="Times New Roman"/>
          <w:sz w:val="24"/>
          <w:szCs w:val="24"/>
          <w:lang w:val="en-US"/>
        </w:rPr>
        <w:t xml:space="preserve"> </w:t>
      </w:r>
      <w:r w:rsidRPr="00BC563A">
        <w:rPr>
          <w:rFonts w:ascii="Times New Roman" w:hAnsi="Times New Roman"/>
          <w:sz w:val="24"/>
          <w:szCs w:val="24"/>
          <w:lang w:val="en-US"/>
        </w:rPr>
        <w:t>The Länder-chamber of the parliament (the Bundesrat) voted to start new proceedings before the Constitutional Court at the end of 2012. However, no official application has been made</w:t>
      </w:r>
      <w:r>
        <w:rPr>
          <w:rFonts w:ascii="Times New Roman" w:hAnsi="Times New Roman"/>
          <w:sz w:val="24"/>
          <w:szCs w:val="24"/>
          <w:lang w:val="en-US"/>
        </w:rPr>
        <w:t>,</w:t>
      </w:r>
      <w:r w:rsidRPr="00BC563A">
        <w:rPr>
          <w:rFonts w:ascii="Times New Roman" w:hAnsi="Times New Roman"/>
          <w:sz w:val="24"/>
          <w:szCs w:val="24"/>
          <w:lang w:val="en-US"/>
        </w:rPr>
        <w:t xml:space="preserve"> due to the </w:t>
      </w:r>
      <w:r w:rsidRPr="00BC563A">
        <w:rPr>
          <w:rFonts w:ascii="Times New Roman" w:hAnsi="Times New Roman"/>
          <w:sz w:val="24"/>
          <w:szCs w:val="24"/>
          <w:shd w:val="clear" w:color="auto" w:fill="FFFFFF"/>
          <w:lang w:val="en-US"/>
        </w:rPr>
        <w:t xml:space="preserve">government’s </w:t>
      </w:r>
      <w:r>
        <w:rPr>
          <w:rFonts w:ascii="Times New Roman" w:hAnsi="Times New Roman"/>
          <w:sz w:val="24"/>
          <w:szCs w:val="24"/>
          <w:shd w:val="clear" w:color="auto" w:fill="FFFFFF"/>
          <w:lang w:val="en-US"/>
        </w:rPr>
        <w:t>hesitance</w:t>
      </w:r>
      <w:r w:rsidRPr="00BC563A">
        <w:rPr>
          <w:rFonts w:ascii="Times New Roman" w:hAnsi="Times New Roman"/>
          <w:sz w:val="24"/>
          <w:szCs w:val="24"/>
          <w:shd w:val="clear" w:color="auto" w:fill="FFFFFF"/>
          <w:lang w:val="en-US"/>
        </w:rPr>
        <w:t xml:space="preserve"> to get formally involved in the application </w:t>
      </w:r>
      <w:r w:rsidRPr="00BC563A">
        <w:rPr>
          <w:rFonts w:ascii="Times New Roman" w:hAnsi="Times New Roman"/>
          <w:sz w:val="24"/>
          <w:szCs w:val="24"/>
          <w:lang w:val="en-US"/>
        </w:rPr>
        <w:t xml:space="preserve">in a pre electoral context. </w:t>
      </w:r>
    </w:p>
    <w:p w:rsidR="00ED7740" w:rsidRDefault="00ED7740" w:rsidP="00740A9D">
      <w:pPr>
        <w:spacing w:line="360" w:lineRule="auto"/>
        <w:jc w:val="both"/>
        <w:rPr>
          <w:rStyle w:val="apple-converted-space"/>
          <w:rFonts w:ascii="Times New Roman" w:hAnsi="Times New Roman"/>
          <w:sz w:val="24"/>
          <w:szCs w:val="24"/>
          <w:lang w:val="en-US"/>
        </w:rPr>
      </w:pPr>
      <w:r w:rsidRPr="00045C4C">
        <w:rPr>
          <w:rFonts w:ascii="Times New Roman" w:hAnsi="Times New Roman"/>
          <w:sz w:val="24"/>
          <w:szCs w:val="24"/>
          <w:lang w:val="en-US"/>
        </w:rPr>
        <w:t>The NPD party reacted to this decision of the Bundesrat</w:t>
      </w:r>
      <w:r>
        <w:rPr>
          <w:rFonts w:ascii="Times New Roman" w:hAnsi="Times New Roman"/>
          <w:sz w:val="24"/>
          <w:szCs w:val="24"/>
          <w:lang w:val="en-US"/>
        </w:rPr>
        <w:t>,</w:t>
      </w:r>
      <w:r w:rsidRPr="00045C4C">
        <w:rPr>
          <w:rFonts w:ascii="Times New Roman" w:hAnsi="Times New Roman"/>
          <w:sz w:val="24"/>
          <w:szCs w:val="24"/>
          <w:lang w:val="en-US"/>
        </w:rPr>
        <w:t xml:space="preserve"> </w:t>
      </w:r>
      <w:r>
        <w:rPr>
          <w:rFonts w:ascii="Times New Roman" w:hAnsi="Times New Roman"/>
          <w:sz w:val="24"/>
          <w:szCs w:val="24"/>
          <w:lang w:val="en-US"/>
        </w:rPr>
        <w:t>as well as</w:t>
      </w:r>
      <w:r w:rsidRPr="00045C4C">
        <w:rPr>
          <w:rFonts w:ascii="Times New Roman" w:hAnsi="Times New Roman"/>
          <w:sz w:val="24"/>
          <w:szCs w:val="24"/>
          <w:lang w:val="en-US"/>
        </w:rPr>
        <w:t xml:space="preserve"> the whole discussion</w:t>
      </w:r>
      <w:r>
        <w:rPr>
          <w:rFonts w:ascii="Times New Roman" w:hAnsi="Times New Roman"/>
          <w:sz w:val="24"/>
          <w:szCs w:val="24"/>
          <w:lang w:val="en-US"/>
        </w:rPr>
        <w:t>,</w:t>
      </w:r>
      <w:r w:rsidRPr="00045C4C">
        <w:rPr>
          <w:rFonts w:ascii="Times New Roman" w:hAnsi="Times New Roman"/>
          <w:sz w:val="24"/>
          <w:szCs w:val="24"/>
          <w:lang w:val="en-US"/>
        </w:rPr>
        <w:t xml:space="preserve"> by making an applicat</w:t>
      </w:r>
      <w:r>
        <w:rPr>
          <w:rFonts w:ascii="Times New Roman" w:hAnsi="Times New Roman"/>
          <w:sz w:val="24"/>
          <w:szCs w:val="24"/>
          <w:lang w:val="en-US"/>
        </w:rPr>
        <w:t xml:space="preserve">ion to the Constitutional Court, thus aiming at having </w:t>
      </w:r>
      <w:r w:rsidRPr="00045C4C">
        <w:rPr>
          <w:rFonts w:ascii="Times New Roman" w:hAnsi="Times New Roman"/>
          <w:sz w:val="24"/>
          <w:szCs w:val="24"/>
          <w:lang w:val="en-US"/>
        </w:rPr>
        <w:t>the Court ascertain that the NPD party was not an unconstitutional party. The Court essentially stated that the NPD had no standing for such proceedings</w:t>
      </w:r>
      <w:r>
        <w:rPr>
          <w:rFonts w:ascii="Times New Roman" w:hAnsi="Times New Roman"/>
          <w:sz w:val="24"/>
          <w:szCs w:val="24"/>
          <w:lang w:val="en-US"/>
        </w:rPr>
        <w:t>,</w:t>
      </w:r>
      <w:r w:rsidRPr="00045C4C">
        <w:rPr>
          <w:rFonts w:ascii="Times New Roman" w:hAnsi="Times New Roman"/>
          <w:sz w:val="24"/>
          <w:szCs w:val="24"/>
          <w:lang w:val="en-US"/>
        </w:rPr>
        <w:t xml:space="preserve"> since a political party had to face such "polemic" by way of political discourse</w:t>
      </w:r>
      <w:r w:rsidRPr="00045C4C">
        <w:rPr>
          <w:rStyle w:val="FootnoteReference"/>
          <w:rFonts w:ascii="Times New Roman" w:hAnsi="Times New Roman"/>
          <w:sz w:val="24"/>
          <w:szCs w:val="24"/>
          <w:lang w:val="en-US"/>
        </w:rPr>
        <w:footnoteReference w:id="17"/>
      </w:r>
      <w:r w:rsidRPr="00045C4C">
        <w:rPr>
          <w:rFonts w:ascii="Times New Roman" w:hAnsi="Times New Roman"/>
          <w:sz w:val="24"/>
          <w:szCs w:val="24"/>
          <w:lang w:val="en-US"/>
        </w:rPr>
        <w:t>.</w:t>
      </w:r>
      <w:r>
        <w:rPr>
          <w:rFonts w:ascii="Times New Roman" w:hAnsi="Times New Roman"/>
          <w:sz w:val="24"/>
          <w:szCs w:val="24"/>
          <w:lang w:val="en-US"/>
        </w:rPr>
        <w:t xml:space="preserve"> Coming back with</w:t>
      </w:r>
      <w:r w:rsidRPr="00924627">
        <w:rPr>
          <w:rFonts w:ascii="Times New Roman" w:hAnsi="Times New Roman"/>
          <w:sz w:val="24"/>
          <w:szCs w:val="24"/>
          <w:lang w:val="en-US"/>
        </w:rPr>
        <w:t xml:space="preserve"> a stronger case this time</w:t>
      </w:r>
      <w:r>
        <w:rPr>
          <w:rFonts w:ascii="Times New Roman" w:hAnsi="Times New Roman"/>
          <w:sz w:val="24"/>
          <w:szCs w:val="24"/>
          <w:lang w:val="en-US"/>
        </w:rPr>
        <w:t xml:space="preserve">, </w:t>
      </w:r>
      <w:r>
        <w:rPr>
          <w:rFonts w:ascii="Times New Roman" w:hAnsi="Times New Roman"/>
          <w:sz w:val="24"/>
          <w:szCs w:val="24"/>
          <w:shd w:val="clear" w:color="auto" w:fill="FFFFFF"/>
          <w:lang w:val="en-US"/>
        </w:rPr>
        <w:t>o</w:t>
      </w:r>
      <w:r w:rsidRPr="00924627">
        <w:rPr>
          <w:rFonts w:ascii="Times New Roman" w:hAnsi="Times New Roman"/>
          <w:sz w:val="24"/>
          <w:szCs w:val="24"/>
          <w:shd w:val="clear" w:color="auto" w:fill="FFFFFF"/>
          <w:lang w:val="en-US"/>
        </w:rPr>
        <w:t>fficials are about to launch a fresh legal attempt to ban the NPD</w:t>
      </w:r>
      <w:r w:rsidRPr="00924627">
        <w:rPr>
          <w:rFonts w:ascii="Times New Roman" w:hAnsi="Times New Roman"/>
          <w:sz w:val="24"/>
          <w:szCs w:val="24"/>
          <w:lang w:val="en-US"/>
        </w:rPr>
        <w:t xml:space="preserve">. Nevertheless, </w:t>
      </w:r>
      <w:r>
        <w:rPr>
          <w:rStyle w:val="apple-converted-space"/>
          <w:rFonts w:ascii="Times New Roman" w:hAnsi="Times New Roman"/>
          <w:sz w:val="24"/>
          <w:szCs w:val="24"/>
          <w:lang w:val="en-US"/>
        </w:rPr>
        <w:t>the</w:t>
      </w:r>
      <w:r w:rsidRPr="00924627">
        <w:rPr>
          <w:rStyle w:val="apple-converted-space"/>
          <w:rFonts w:ascii="Times New Roman" w:hAnsi="Times New Roman"/>
          <w:sz w:val="24"/>
          <w:szCs w:val="24"/>
          <w:lang w:val="en-US"/>
        </w:rPr>
        <w:t xml:space="preserve"> government is </w:t>
      </w:r>
      <w:r>
        <w:rPr>
          <w:rStyle w:val="apple-converted-space"/>
          <w:rFonts w:ascii="Times New Roman" w:hAnsi="Times New Roman"/>
          <w:sz w:val="24"/>
          <w:szCs w:val="24"/>
          <w:lang w:val="en-US"/>
        </w:rPr>
        <w:t xml:space="preserve">still not </w:t>
      </w:r>
      <w:r w:rsidRPr="00924627">
        <w:rPr>
          <w:rStyle w:val="apple-converted-space"/>
          <w:rFonts w:ascii="Times New Roman" w:hAnsi="Times New Roman"/>
          <w:sz w:val="24"/>
          <w:szCs w:val="24"/>
          <w:lang w:val="en-US"/>
        </w:rPr>
        <w:t xml:space="preserve">planning to get formally involved in the application. Chancellor Angela Merkel’s actual position </w:t>
      </w:r>
      <w:r>
        <w:rPr>
          <w:rStyle w:val="apple-converted-space"/>
          <w:rFonts w:ascii="Times New Roman" w:hAnsi="Times New Roman"/>
          <w:sz w:val="24"/>
          <w:szCs w:val="24"/>
          <w:lang w:val="en-US"/>
        </w:rPr>
        <w:t>has been</w:t>
      </w:r>
      <w:r w:rsidRPr="00924627">
        <w:rPr>
          <w:rStyle w:val="apple-converted-space"/>
          <w:rFonts w:ascii="Times New Roman" w:hAnsi="Times New Roman"/>
          <w:sz w:val="24"/>
          <w:szCs w:val="24"/>
          <w:lang w:val="en-US"/>
        </w:rPr>
        <w:t xml:space="preserve"> that the NPD </w:t>
      </w:r>
      <w:r>
        <w:rPr>
          <w:rStyle w:val="apple-converted-space"/>
          <w:rFonts w:ascii="Times New Roman" w:hAnsi="Times New Roman"/>
          <w:sz w:val="24"/>
          <w:szCs w:val="24"/>
          <w:lang w:val="en-US"/>
        </w:rPr>
        <w:t>is</w:t>
      </w:r>
      <w:r w:rsidRPr="00924627">
        <w:rPr>
          <w:rStyle w:val="apple-converted-space"/>
          <w:rFonts w:ascii="Times New Roman" w:hAnsi="Times New Roman"/>
          <w:sz w:val="24"/>
          <w:szCs w:val="24"/>
          <w:lang w:val="en-US"/>
        </w:rPr>
        <w:t xml:space="preserve"> an anti-democratic, xenophobic and antisemitic party </w:t>
      </w:r>
      <w:r>
        <w:rPr>
          <w:rStyle w:val="apple-converted-space"/>
          <w:rFonts w:ascii="Times New Roman" w:hAnsi="Times New Roman"/>
          <w:sz w:val="24"/>
          <w:szCs w:val="24"/>
          <w:lang w:val="en-US"/>
        </w:rPr>
        <w:t>which</w:t>
      </w:r>
      <w:r w:rsidRPr="00924627">
        <w:rPr>
          <w:rStyle w:val="apple-converted-space"/>
          <w:rFonts w:ascii="Times New Roman" w:hAnsi="Times New Roman"/>
          <w:sz w:val="24"/>
          <w:szCs w:val="24"/>
          <w:lang w:val="en-US"/>
        </w:rPr>
        <w:t xml:space="preserve"> should be fought with all means, but </w:t>
      </w:r>
      <w:r>
        <w:rPr>
          <w:rStyle w:val="apple-converted-space"/>
          <w:rFonts w:ascii="Times New Roman" w:hAnsi="Times New Roman"/>
          <w:sz w:val="24"/>
          <w:szCs w:val="24"/>
          <w:lang w:val="en-US"/>
        </w:rPr>
        <w:t>she has</w:t>
      </w:r>
      <w:r w:rsidRPr="00924627">
        <w:rPr>
          <w:rStyle w:val="apple-converted-space"/>
          <w:rFonts w:ascii="Times New Roman" w:hAnsi="Times New Roman"/>
          <w:sz w:val="24"/>
          <w:szCs w:val="24"/>
          <w:lang w:val="en-US"/>
        </w:rPr>
        <w:t xml:space="preserve"> not consider</w:t>
      </w:r>
      <w:r>
        <w:rPr>
          <w:rStyle w:val="apple-converted-space"/>
          <w:rFonts w:ascii="Times New Roman" w:hAnsi="Times New Roman"/>
          <w:sz w:val="24"/>
          <w:szCs w:val="24"/>
          <w:lang w:val="en-US"/>
        </w:rPr>
        <w:t>ed</w:t>
      </w:r>
      <w:r w:rsidRPr="00924627">
        <w:rPr>
          <w:rStyle w:val="apple-converted-space"/>
          <w:rFonts w:ascii="Times New Roman" w:hAnsi="Times New Roman"/>
          <w:sz w:val="24"/>
          <w:szCs w:val="24"/>
          <w:lang w:val="en-US"/>
        </w:rPr>
        <w:t xml:space="preserve"> a renewed ban application necessary.</w:t>
      </w:r>
    </w:p>
    <w:p w:rsidR="00ED7740" w:rsidRPr="00D957D6" w:rsidRDefault="00ED7740" w:rsidP="00740A9D">
      <w:pPr>
        <w:spacing w:line="360" w:lineRule="auto"/>
        <w:jc w:val="both"/>
        <w:rPr>
          <w:rStyle w:val="apple-converted-space"/>
          <w:rFonts w:ascii="Times New Roman" w:hAnsi="Times New Roman"/>
          <w:color w:val="FF0000"/>
          <w:sz w:val="24"/>
          <w:szCs w:val="24"/>
          <w:lang w:val="en-US"/>
        </w:rPr>
      </w:pPr>
      <w:r>
        <w:rPr>
          <w:rStyle w:val="apple-converted-space"/>
          <w:rFonts w:ascii="Times New Roman" w:hAnsi="Times New Roman"/>
          <w:b/>
          <w:sz w:val="24"/>
          <w:szCs w:val="24"/>
          <w:lang w:val="en-US"/>
        </w:rPr>
        <w:t>H</w:t>
      </w:r>
      <w:r w:rsidRPr="00E33E5A">
        <w:rPr>
          <w:rStyle w:val="apple-converted-space"/>
          <w:rFonts w:ascii="Times New Roman" w:hAnsi="Times New Roman"/>
          <w:b/>
          <w:sz w:val="24"/>
          <w:szCs w:val="24"/>
          <w:lang w:val="en-US"/>
        </w:rPr>
        <w:t>ypotheses</w:t>
      </w:r>
      <w:r>
        <w:rPr>
          <w:rStyle w:val="apple-converted-space"/>
          <w:rFonts w:ascii="Times New Roman" w:hAnsi="Times New Roman"/>
          <w:b/>
          <w:sz w:val="24"/>
          <w:szCs w:val="24"/>
          <w:lang w:val="en-US"/>
        </w:rPr>
        <w:t>’ test:</w:t>
      </w:r>
      <w:r>
        <w:rPr>
          <w:rStyle w:val="apple-converted-space"/>
          <w:rFonts w:ascii="Times New Roman" w:hAnsi="Times New Roman"/>
          <w:sz w:val="24"/>
          <w:szCs w:val="24"/>
          <w:lang w:val="en-US"/>
        </w:rPr>
        <w:t xml:space="preserve"> How could Europeanization as an alternative explanation apply to the German context</w:t>
      </w:r>
      <w:r w:rsidRPr="008515E0">
        <w:rPr>
          <w:rStyle w:val="apple-converted-space"/>
          <w:rFonts w:ascii="Times New Roman" w:hAnsi="Times New Roman"/>
          <w:sz w:val="24"/>
          <w:szCs w:val="24"/>
          <w:lang w:val="en-US"/>
        </w:rPr>
        <w:t xml:space="preserve">? The existing German defensiveness could serve to confirm or </w:t>
      </w:r>
      <w:r>
        <w:rPr>
          <w:rStyle w:val="apple-converted-space"/>
          <w:rFonts w:ascii="Times New Roman" w:hAnsi="Times New Roman"/>
          <w:sz w:val="24"/>
          <w:szCs w:val="24"/>
          <w:lang w:val="en-US"/>
        </w:rPr>
        <w:t>disprove</w:t>
      </w:r>
      <w:r w:rsidRPr="008515E0">
        <w:rPr>
          <w:rStyle w:val="apple-converted-space"/>
          <w:rFonts w:ascii="Times New Roman" w:hAnsi="Times New Roman"/>
          <w:sz w:val="24"/>
          <w:szCs w:val="24"/>
          <w:lang w:val="en-US"/>
        </w:rPr>
        <w:t xml:space="preserve"> the principal hypothesis, while the German government’s developing positioning could test the subsidiary one.</w:t>
      </w:r>
      <w:r w:rsidRPr="00D957D6">
        <w:rPr>
          <w:rStyle w:val="apple-converted-space"/>
          <w:rFonts w:ascii="Times New Roman" w:hAnsi="Times New Roman"/>
          <w:color w:val="FF0000"/>
          <w:sz w:val="24"/>
          <w:szCs w:val="24"/>
          <w:lang w:val="en-US"/>
        </w:rPr>
        <w:t xml:space="preserve"> </w:t>
      </w:r>
    </w:p>
    <w:p w:rsidR="00ED7740" w:rsidRPr="00845A3C" w:rsidRDefault="00ED7740" w:rsidP="00740A9D">
      <w:pPr>
        <w:spacing w:line="360" w:lineRule="auto"/>
        <w:jc w:val="both"/>
        <w:rPr>
          <w:rFonts w:ascii="Times New Roman" w:hAnsi="Times New Roman"/>
          <w:b/>
          <w:sz w:val="24"/>
          <w:szCs w:val="24"/>
          <w:lang w:val="en-US"/>
        </w:rPr>
      </w:pPr>
      <w:r w:rsidRPr="00845A3C">
        <w:rPr>
          <w:rFonts w:ascii="Times New Roman" w:hAnsi="Times New Roman"/>
          <w:b/>
          <w:sz w:val="24"/>
          <w:szCs w:val="24"/>
          <w:lang w:val="en-US"/>
        </w:rPr>
        <w:t>In Greece</w:t>
      </w:r>
      <w:r>
        <w:rPr>
          <w:rFonts w:ascii="Times New Roman" w:hAnsi="Times New Roman"/>
          <w:color w:val="000000"/>
          <w:sz w:val="24"/>
          <w:szCs w:val="24"/>
          <w:lang w:val="en-US"/>
        </w:rPr>
        <w:t xml:space="preserve">, the European Council’s report </w:t>
      </w:r>
      <w:r w:rsidRPr="00845A3C">
        <w:rPr>
          <w:rFonts w:ascii="Times New Roman" w:hAnsi="Times New Roman"/>
          <w:color w:val="000000"/>
          <w:sz w:val="24"/>
          <w:szCs w:val="24"/>
          <w:lang w:val="en-US"/>
        </w:rPr>
        <w:t>c</w:t>
      </w:r>
      <w:r>
        <w:rPr>
          <w:rFonts w:ascii="Times New Roman" w:hAnsi="Times New Roman"/>
          <w:color w:val="000000"/>
          <w:sz w:val="24"/>
          <w:szCs w:val="24"/>
          <w:lang w:val="en-US"/>
        </w:rPr>
        <w:t>ompiled in February 2013 by Nils Muiznieks, the Human Rights C</w:t>
      </w:r>
      <w:r w:rsidRPr="00845A3C">
        <w:rPr>
          <w:rFonts w:ascii="Times New Roman" w:hAnsi="Times New Roman"/>
          <w:color w:val="000000"/>
          <w:sz w:val="24"/>
          <w:szCs w:val="24"/>
          <w:lang w:val="en-US"/>
        </w:rPr>
        <w:t>ommissioner</w:t>
      </w:r>
      <w:r>
        <w:rPr>
          <w:rFonts w:ascii="Times New Roman" w:hAnsi="Times New Roman"/>
          <w:color w:val="000000"/>
          <w:sz w:val="24"/>
          <w:szCs w:val="24"/>
          <w:lang w:val="en-US"/>
        </w:rPr>
        <w:t>, has identified</w:t>
      </w:r>
      <w:r w:rsidRPr="00845A3C">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the </w:t>
      </w:r>
      <w:r w:rsidRPr="00845A3C">
        <w:rPr>
          <w:rFonts w:ascii="Times New Roman" w:hAnsi="Times New Roman"/>
          <w:color w:val="000000"/>
          <w:sz w:val="24"/>
          <w:szCs w:val="24"/>
          <w:lang w:val="en-US"/>
        </w:rPr>
        <w:t>legal grounds to outlaw</w:t>
      </w:r>
      <w:r>
        <w:rPr>
          <w:rFonts w:ascii="Times New Roman" w:hAnsi="Times New Roman"/>
          <w:color w:val="000000"/>
          <w:sz w:val="24"/>
          <w:szCs w:val="24"/>
          <w:lang w:val="en-US"/>
        </w:rPr>
        <w:t xml:space="preserve"> the</w:t>
      </w:r>
      <w:r w:rsidRPr="00845A3C">
        <w:rPr>
          <w:rFonts w:ascii="Times New Roman" w:hAnsi="Times New Roman"/>
          <w:color w:val="000000"/>
          <w:sz w:val="24"/>
          <w:szCs w:val="24"/>
          <w:lang w:val="en-US"/>
        </w:rPr>
        <w:t xml:space="preserve"> Golden Dawn or any other political </w:t>
      </w:r>
      <w:r>
        <w:rPr>
          <w:rFonts w:ascii="Times New Roman" w:hAnsi="Times New Roman"/>
          <w:color w:val="000000"/>
          <w:sz w:val="24"/>
          <w:szCs w:val="24"/>
          <w:lang w:val="en-US"/>
        </w:rPr>
        <w:t>organisation</w:t>
      </w:r>
      <w:r w:rsidRPr="00845A3C">
        <w:rPr>
          <w:rFonts w:ascii="Times New Roman" w:hAnsi="Times New Roman"/>
          <w:color w:val="000000"/>
          <w:sz w:val="24"/>
          <w:szCs w:val="24"/>
          <w:lang w:val="en-US"/>
        </w:rPr>
        <w:t xml:space="preserve"> found to be engaging in racially motivated crimes</w:t>
      </w:r>
      <w:r>
        <w:rPr>
          <w:rFonts w:ascii="Times New Roman" w:hAnsi="Times New Roman"/>
          <w:color w:val="000000"/>
          <w:sz w:val="24"/>
          <w:szCs w:val="24"/>
          <w:lang w:val="en-US"/>
        </w:rPr>
        <w:t xml:space="preserve">. </w:t>
      </w:r>
      <w:r w:rsidRPr="00845A3C">
        <w:rPr>
          <w:rFonts w:ascii="Times New Roman" w:hAnsi="Times New Roman"/>
          <w:color w:val="000000"/>
          <w:sz w:val="24"/>
          <w:szCs w:val="24"/>
          <w:lang w:val="en-US"/>
        </w:rPr>
        <w:t>It was</w:t>
      </w:r>
      <w:r>
        <w:rPr>
          <w:rFonts w:ascii="Times New Roman" w:hAnsi="Times New Roman"/>
          <w:color w:val="000000"/>
          <w:sz w:val="24"/>
          <w:szCs w:val="24"/>
          <w:lang w:val="en-US"/>
        </w:rPr>
        <w:t xml:space="preserve"> thus</w:t>
      </w:r>
      <w:r w:rsidRPr="00845A3C">
        <w:rPr>
          <w:rFonts w:ascii="Times New Roman" w:hAnsi="Times New Roman"/>
          <w:color w:val="000000"/>
          <w:sz w:val="24"/>
          <w:szCs w:val="24"/>
          <w:lang w:val="en-US"/>
        </w:rPr>
        <w:t xml:space="preserve"> made clear that legally binding treaties such as the International Convention on the Elimination of all Forms of Racial Discrimination and the European Convention on Human Rights, both of which have been ratified by Greece, give local authorities the right to curb or sanction individuals who support </w:t>
      </w:r>
      <w:r>
        <w:rPr>
          <w:rFonts w:ascii="Times New Roman" w:hAnsi="Times New Roman"/>
          <w:color w:val="000000"/>
          <w:sz w:val="24"/>
          <w:szCs w:val="24"/>
          <w:lang w:val="en-US"/>
        </w:rPr>
        <w:t xml:space="preserve">or engage in </w:t>
      </w:r>
      <w:r w:rsidRPr="00845A3C">
        <w:rPr>
          <w:rFonts w:ascii="Times New Roman" w:hAnsi="Times New Roman"/>
          <w:color w:val="000000"/>
          <w:sz w:val="24"/>
          <w:szCs w:val="24"/>
          <w:lang w:val="en-US"/>
        </w:rPr>
        <w:t xml:space="preserve">hate crimes. </w:t>
      </w:r>
    </w:p>
    <w:p w:rsidR="00ED7740" w:rsidRDefault="00ED7740" w:rsidP="00740A9D">
      <w:pPr>
        <w:pStyle w:val="NormalWeb"/>
        <w:shd w:val="clear" w:color="auto" w:fill="FFFFFF"/>
        <w:spacing w:line="360" w:lineRule="auto"/>
        <w:jc w:val="both"/>
        <w:rPr>
          <w:lang w:val="en-US"/>
        </w:rPr>
      </w:pPr>
      <w:r w:rsidRPr="00106B00">
        <w:rPr>
          <w:color w:val="000000"/>
          <w:lang w:val="en-US"/>
        </w:rPr>
        <w:t xml:space="preserve">The historic decision of the Deputy Public Prosecutor of the Greek Supreme Court in Athens that led to the arrest of the leader and members of </w:t>
      </w:r>
      <w:r>
        <w:rPr>
          <w:color w:val="000000"/>
          <w:lang w:val="en-US"/>
        </w:rPr>
        <w:t xml:space="preserve">the </w:t>
      </w:r>
      <w:r w:rsidRPr="00106B00">
        <w:rPr>
          <w:color w:val="000000"/>
          <w:lang w:val="en-US"/>
        </w:rPr>
        <w:t xml:space="preserve">Golden Dawn was a long-awaited move by the Greek government </w:t>
      </w:r>
      <w:r>
        <w:rPr>
          <w:color w:val="000000"/>
          <w:lang w:val="en-US"/>
        </w:rPr>
        <w:t>that</w:t>
      </w:r>
      <w:r w:rsidRPr="00106B00">
        <w:rPr>
          <w:color w:val="000000"/>
          <w:lang w:val="en-US"/>
        </w:rPr>
        <w:t xml:space="preserve"> </w:t>
      </w:r>
      <w:r>
        <w:rPr>
          <w:color w:val="000000"/>
          <w:lang w:val="en-US"/>
        </w:rPr>
        <w:t>witnessed</w:t>
      </w:r>
      <w:r w:rsidRPr="00106B00">
        <w:rPr>
          <w:color w:val="000000"/>
          <w:lang w:val="en-US"/>
        </w:rPr>
        <w:t xml:space="preserve"> nationwide protests after the murder of</w:t>
      </w:r>
      <w:r>
        <w:rPr>
          <w:color w:val="000000"/>
          <w:lang w:val="en-US"/>
        </w:rPr>
        <w:t xml:space="preserve"> the 18</w:t>
      </w:r>
      <w:r w:rsidRPr="00845A3C">
        <w:rPr>
          <w:color w:val="000000"/>
          <w:vertAlign w:val="superscript"/>
          <w:lang w:val="en-US"/>
        </w:rPr>
        <w:t>th</w:t>
      </w:r>
      <w:r>
        <w:rPr>
          <w:color w:val="000000"/>
          <w:lang w:val="en-US"/>
        </w:rPr>
        <w:t xml:space="preserve"> of September</w:t>
      </w:r>
      <w:r w:rsidRPr="00106B00">
        <w:rPr>
          <w:color w:val="000000"/>
          <w:lang w:val="en-US"/>
        </w:rPr>
        <w:t>.</w:t>
      </w:r>
      <w:r>
        <w:rPr>
          <w:color w:val="000000"/>
          <w:lang w:val="en-US"/>
        </w:rPr>
        <w:t xml:space="preserve"> </w:t>
      </w:r>
      <w:r w:rsidRPr="00106B00">
        <w:rPr>
          <w:lang w:val="en-US"/>
        </w:rPr>
        <w:t xml:space="preserve">Although it is plausible that the Greek judicial system is finally taking measures to prevent the </w:t>
      </w:r>
      <w:r>
        <w:rPr>
          <w:lang w:val="en-US"/>
        </w:rPr>
        <w:t>party</w:t>
      </w:r>
      <w:r w:rsidRPr="00106B00">
        <w:rPr>
          <w:lang w:val="en-US"/>
        </w:rPr>
        <w:t xml:space="preserve"> from committing further criminal acts, the findings of the report did not have much impact on the public conscience; the theatricality of the arrest perhaps did, but Greek citizens were well aware of the ongoing crimes committed by Golden Dawn members</w:t>
      </w:r>
      <w:r>
        <w:rPr>
          <w:lang w:val="en-US"/>
        </w:rPr>
        <w:t>.</w:t>
      </w:r>
      <w:r w:rsidRPr="00106B00">
        <w:rPr>
          <w:lang w:val="en-US"/>
        </w:rPr>
        <w:t xml:space="preserve"> </w:t>
      </w:r>
    </w:p>
    <w:p w:rsidR="00ED7740" w:rsidRPr="00637E9F" w:rsidRDefault="00ED7740" w:rsidP="00740A9D">
      <w:pPr>
        <w:pStyle w:val="NormalWeb"/>
        <w:shd w:val="clear" w:color="auto" w:fill="FFFFFF"/>
        <w:spacing w:line="360" w:lineRule="auto"/>
        <w:jc w:val="both"/>
        <w:rPr>
          <w:lang w:val="en-US"/>
        </w:rPr>
      </w:pPr>
      <w:r w:rsidRPr="00106B00">
        <w:rPr>
          <w:lang w:val="en-US"/>
        </w:rPr>
        <w:t xml:space="preserve">Even though </w:t>
      </w:r>
      <w:r>
        <w:rPr>
          <w:lang w:val="en-US"/>
        </w:rPr>
        <w:t xml:space="preserve">both the EU Institutions and </w:t>
      </w:r>
      <w:r w:rsidRPr="00106B00">
        <w:rPr>
          <w:lang w:val="en-US"/>
        </w:rPr>
        <w:t>the Council of Europe ha</w:t>
      </w:r>
      <w:r>
        <w:rPr>
          <w:lang w:val="en-US"/>
        </w:rPr>
        <w:t>ve</w:t>
      </w:r>
      <w:r w:rsidRPr="00106B00">
        <w:rPr>
          <w:lang w:val="en-US"/>
        </w:rPr>
        <w:t xml:space="preserve"> long been putting pressure on the Greek government to conduct such investigations and to suspend the operation of this </w:t>
      </w:r>
      <w:r>
        <w:rPr>
          <w:lang w:val="en-US"/>
        </w:rPr>
        <w:t>party</w:t>
      </w:r>
      <w:r w:rsidRPr="00106B00">
        <w:rPr>
          <w:lang w:val="en-US"/>
        </w:rPr>
        <w:t>, it has taken a considerably long time and much unnecessary grief to finally take this preventive action.</w:t>
      </w:r>
      <w:r>
        <w:rPr>
          <w:lang w:val="en-US"/>
        </w:rPr>
        <w:t xml:space="preserve"> T</w:t>
      </w:r>
      <w:r w:rsidRPr="00106B00">
        <w:rPr>
          <w:lang w:val="en-US"/>
        </w:rPr>
        <w:t xml:space="preserve">he most challenging </w:t>
      </w:r>
      <w:r>
        <w:rPr>
          <w:lang w:val="en-US"/>
        </w:rPr>
        <w:t>task for the Greek government remains</w:t>
      </w:r>
      <w:r w:rsidRPr="00106B00">
        <w:rPr>
          <w:lang w:val="en-US"/>
        </w:rPr>
        <w:t xml:space="preserve"> to find an ingenious way to channel public anger against the policies that led the country to </w:t>
      </w:r>
      <w:r>
        <w:rPr>
          <w:lang w:val="en-US"/>
        </w:rPr>
        <w:t xml:space="preserve">economic collapse, </w:t>
      </w:r>
      <w:r w:rsidRPr="00106B00">
        <w:rPr>
          <w:lang w:val="en-US"/>
        </w:rPr>
        <w:t>so that there is no longer an</w:t>
      </w:r>
      <w:r>
        <w:rPr>
          <w:lang w:val="en-US"/>
        </w:rPr>
        <w:t>y need to resort to extremism- a</w:t>
      </w:r>
      <w:r w:rsidRPr="004F54AB">
        <w:rPr>
          <w:color w:val="FF0000"/>
          <w:lang w:val="en-US"/>
        </w:rPr>
        <w:t xml:space="preserve"> </w:t>
      </w:r>
      <w:r w:rsidRPr="00637E9F">
        <w:rPr>
          <w:lang w:val="en-US"/>
        </w:rPr>
        <w:t xml:space="preserve">task that apparently the Greek government cannot handle on its own. </w:t>
      </w:r>
    </w:p>
    <w:p w:rsidR="00ED7740" w:rsidRPr="00CF3E13" w:rsidRDefault="00ED7740" w:rsidP="00740A9D">
      <w:pPr>
        <w:spacing w:line="360" w:lineRule="auto"/>
        <w:jc w:val="both"/>
        <w:rPr>
          <w:rStyle w:val="apple-converted-space"/>
          <w:rFonts w:ascii="Times New Roman" w:hAnsi="Times New Roman"/>
          <w:sz w:val="24"/>
          <w:szCs w:val="24"/>
          <w:lang w:val="en-US"/>
        </w:rPr>
      </w:pPr>
      <w:r>
        <w:rPr>
          <w:rStyle w:val="apple-converted-space"/>
          <w:rFonts w:ascii="Times New Roman" w:hAnsi="Times New Roman"/>
          <w:b/>
          <w:sz w:val="24"/>
          <w:szCs w:val="24"/>
          <w:lang w:val="en-US"/>
        </w:rPr>
        <w:t>H</w:t>
      </w:r>
      <w:r w:rsidRPr="00E33E5A">
        <w:rPr>
          <w:rStyle w:val="apple-converted-space"/>
          <w:rFonts w:ascii="Times New Roman" w:hAnsi="Times New Roman"/>
          <w:b/>
          <w:sz w:val="24"/>
          <w:szCs w:val="24"/>
          <w:lang w:val="en-US"/>
        </w:rPr>
        <w:t>ypotheses</w:t>
      </w:r>
      <w:r>
        <w:rPr>
          <w:rStyle w:val="apple-converted-space"/>
          <w:rFonts w:ascii="Times New Roman" w:hAnsi="Times New Roman"/>
          <w:b/>
          <w:sz w:val="24"/>
          <w:szCs w:val="24"/>
          <w:lang w:val="en-US"/>
        </w:rPr>
        <w:t>’ test</w:t>
      </w:r>
      <w:r w:rsidRPr="005D09C5">
        <w:rPr>
          <w:rStyle w:val="apple-converted-space"/>
          <w:rFonts w:ascii="Times New Roman" w:hAnsi="Times New Roman"/>
          <w:b/>
          <w:sz w:val="24"/>
          <w:szCs w:val="24"/>
          <w:lang w:val="en-US"/>
        </w:rPr>
        <w:t>:</w:t>
      </w:r>
      <w:r w:rsidRPr="00FA09C1">
        <w:rPr>
          <w:rStyle w:val="apple-converted-space"/>
          <w:rFonts w:ascii="Times New Roman" w:hAnsi="Times New Roman"/>
          <w:b/>
          <w:color w:val="FF0000"/>
          <w:sz w:val="24"/>
          <w:szCs w:val="24"/>
          <w:lang w:val="en-US"/>
        </w:rPr>
        <w:t xml:space="preserve">  </w:t>
      </w:r>
      <w:r w:rsidRPr="00CF3E13">
        <w:rPr>
          <w:rStyle w:val="apple-converted-space"/>
          <w:rFonts w:ascii="Times New Roman" w:hAnsi="Times New Roman"/>
          <w:sz w:val="24"/>
          <w:szCs w:val="24"/>
          <w:lang w:val="en-US"/>
        </w:rPr>
        <w:t xml:space="preserve">Similarly, the state of the actual Greek defensiveness and its evolution can be a useful case for assessing the variables leading Europeanization to increase over time or not (principal hypothesis). It can also assess the differentiated importance of the partisan and non partisan elites behind this process (subsidiary hypothesis). </w:t>
      </w:r>
    </w:p>
    <w:p w:rsidR="00ED7740" w:rsidRPr="00E33E5A" w:rsidRDefault="00ED7740" w:rsidP="00740A9D">
      <w:pPr>
        <w:spacing w:line="360" w:lineRule="auto"/>
        <w:jc w:val="both"/>
        <w:rPr>
          <w:rFonts w:ascii="Times New Roman" w:hAnsi="Times New Roman"/>
          <w:color w:val="FF0000"/>
          <w:sz w:val="24"/>
          <w:szCs w:val="24"/>
          <w:lang w:val="en-US"/>
        </w:rPr>
      </w:pPr>
    </w:p>
    <w:p w:rsidR="00ED7740" w:rsidRPr="007941F4" w:rsidRDefault="00ED7740" w:rsidP="00740A9D">
      <w:pPr>
        <w:spacing w:line="360" w:lineRule="auto"/>
        <w:jc w:val="both"/>
        <w:rPr>
          <w:rStyle w:val="apple-converted-space"/>
          <w:rFonts w:ascii="Times New Roman" w:hAnsi="Times New Roman"/>
          <w:b/>
          <w:i/>
          <w:sz w:val="24"/>
          <w:szCs w:val="24"/>
          <w:shd w:val="clear" w:color="auto" w:fill="FFFFFF"/>
          <w:lang w:val="en-US"/>
        </w:rPr>
      </w:pPr>
      <w:r w:rsidRPr="007941F4">
        <w:rPr>
          <w:rFonts w:ascii="Times New Roman" w:hAnsi="Times New Roman"/>
          <w:b/>
          <w:i/>
          <w:sz w:val="24"/>
          <w:szCs w:val="24"/>
          <w:shd w:val="clear" w:color="auto" w:fill="FFFFFF"/>
          <w:lang w:val="en-US"/>
        </w:rPr>
        <w:t xml:space="preserve">The limitations of an autonomous EU intervention </w:t>
      </w:r>
    </w:p>
    <w:p w:rsidR="00ED7740" w:rsidRPr="00845A3C" w:rsidRDefault="00ED7740" w:rsidP="00740A9D">
      <w:pPr>
        <w:spacing w:line="360" w:lineRule="auto"/>
        <w:jc w:val="both"/>
        <w:rPr>
          <w:lang w:val="en-US"/>
        </w:rPr>
      </w:pPr>
      <w:r>
        <w:rPr>
          <w:rFonts w:ascii="Times New Roman" w:hAnsi="Times New Roman"/>
          <w:sz w:val="24"/>
          <w:szCs w:val="24"/>
          <w:lang w:val="en-US"/>
        </w:rPr>
        <w:t xml:space="preserve">In </w:t>
      </w:r>
      <w:r w:rsidRPr="00106B00">
        <w:rPr>
          <w:rFonts w:ascii="Times New Roman" w:hAnsi="Times New Roman"/>
          <w:b/>
          <w:sz w:val="24"/>
          <w:szCs w:val="24"/>
          <w:lang w:val="en-US"/>
        </w:rPr>
        <w:t>Austria</w:t>
      </w:r>
      <w:r>
        <w:rPr>
          <w:rFonts w:ascii="Times New Roman" w:hAnsi="Times New Roman"/>
          <w:sz w:val="24"/>
          <w:szCs w:val="24"/>
          <w:lang w:val="en-US"/>
        </w:rPr>
        <w:t>, the 2000 Haider affair can be seen as a precedent for direct EU intervention in national politics</w:t>
      </w:r>
      <w:r>
        <w:rPr>
          <w:rStyle w:val="FootnoteReference"/>
          <w:rFonts w:ascii="Times New Roman" w:hAnsi="Times New Roman"/>
          <w:sz w:val="24"/>
          <w:szCs w:val="24"/>
          <w:lang w:val="en-US"/>
        </w:rPr>
        <w:footnoteReference w:id="18"/>
      </w:r>
      <w:r>
        <w:rPr>
          <w:rFonts w:ascii="Times New Roman" w:hAnsi="Times New Roman"/>
          <w:sz w:val="24"/>
          <w:szCs w:val="24"/>
          <w:lang w:val="en-US"/>
        </w:rPr>
        <w:t xml:space="preserve"> but the ultimate exoneration of the Austrian government accounts for the inability of the EU framework to combat extremism in all cases. </w:t>
      </w:r>
      <w:r w:rsidRPr="00E62A2D">
        <w:rPr>
          <w:rFonts w:ascii="Times New Roman" w:hAnsi="Times New Roman"/>
          <w:sz w:val="24"/>
          <w:szCs w:val="24"/>
          <w:lang w:val="en-US"/>
        </w:rPr>
        <w:t>The EU has the option to screen, postpone and ultimately refuse membership to a candidate country via the Copenhagen criteria on respect for democracy and rule of law, but once a country has entered the EU</w:t>
      </w:r>
      <w:r>
        <w:rPr>
          <w:rFonts w:ascii="Times New Roman" w:hAnsi="Times New Roman"/>
          <w:sz w:val="24"/>
          <w:szCs w:val="24"/>
          <w:lang w:val="en-US"/>
        </w:rPr>
        <w:t>,</w:t>
      </w:r>
      <w:r w:rsidRPr="00E62A2D">
        <w:rPr>
          <w:rFonts w:ascii="Times New Roman" w:hAnsi="Times New Roman"/>
          <w:sz w:val="24"/>
          <w:szCs w:val="24"/>
          <w:lang w:val="en-US"/>
        </w:rPr>
        <w:t xml:space="preserve"> it becomes unclear what the EU can do in face of a breach of its main principles and values.</w:t>
      </w:r>
    </w:p>
    <w:p w:rsidR="00ED7740" w:rsidRPr="00051124" w:rsidRDefault="00ED7740" w:rsidP="00740A9D">
      <w:pPr>
        <w:pStyle w:val="NormalWeb"/>
        <w:shd w:val="clear" w:color="auto" w:fill="FFFFFF"/>
        <w:spacing w:before="0" w:beforeAutospacing="0" w:after="0" w:afterAutospacing="0" w:line="360" w:lineRule="auto"/>
        <w:jc w:val="both"/>
        <w:rPr>
          <w:lang w:val="en-US"/>
        </w:rPr>
      </w:pPr>
    </w:p>
    <w:p w:rsidR="00ED7740" w:rsidRDefault="00ED7740" w:rsidP="00740A9D">
      <w:pPr>
        <w:spacing w:line="360" w:lineRule="auto"/>
        <w:jc w:val="both"/>
        <w:rPr>
          <w:rFonts w:ascii="Times New Roman" w:hAnsi="Times New Roman"/>
          <w:sz w:val="24"/>
          <w:szCs w:val="24"/>
          <w:lang w:val="en-US"/>
        </w:rPr>
      </w:pPr>
      <w:r w:rsidRPr="00051124">
        <w:rPr>
          <w:rFonts w:ascii="Times New Roman" w:hAnsi="Times New Roman"/>
          <w:sz w:val="24"/>
          <w:szCs w:val="24"/>
          <w:lang w:val="en-US"/>
        </w:rPr>
        <w:t>In</w:t>
      </w:r>
      <w:r w:rsidRPr="00051124">
        <w:rPr>
          <w:rFonts w:ascii="Times New Roman" w:hAnsi="Times New Roman"/>
          <w:b/>
          <w:sz w:val="24"/>
          <w:szCs w:val="24"/>
          <w:lang w:val="en-US"/>
        </w:rPr>
        <w:t xml:space="preserve"> Hungary, </w:t>
      </w:r>
      <w:r w:rsidRPr="00051124">
        <w:rPr>
          <w:rFonts w:ascii="Times New Roman" w:hAnsi="Times New Roman"/>
          <w:sz w:val="24"/>
          <w:szCs w:val="24"/>
          <w:lang w:val="en-US"/>
        </w:rPr>
        <w:t>the constitution changes adopted in the Hungarian Parliament, combined with the government’s blatant disregard for the rulings of the Constitutional Court, are at odds with the fundamental values of the EU and ignore numerous recommendations made by European expert bodies</w:t>
      </w:r>
      <w:r>
        <w:rPr>
          <w:rStyle w:val="FootnoteReference"/>
          <w:rFonts w:ascii="Times New Roman" w:hAnsi="Times New Roman"/>
          <w:sz w:val="24"/>
          <w:szCs w:val="24"/>
          <w:lang w:val="en-US"/>
        </w:rPr>
        <w:footnoteReference w:id="19"/>
      </w:r>
      <w:r w:rsidRPr="00051124">
        <w:rPr>
          <w:rFonts w:ascii="Times New Roman" w:hAnsi="Times New Roman"/>
          <w:sz w:val="24"/>
          <w:szCs w:val="24"/>
          <w:lang w:val="en-US"/>
        </w:rPr>
        <w:t>.</w:t>
      </w:r>
      <w:r w:rsidRPr="00045C4C">
        <w:rPr>
          <w:rFonts w:ascii="Times New Roman" w:hAnsi="Times New Roman"/>
          <w:sz w:val="24"/>
          <w:szCs w:val="24"/>
          <w:lang w:val="en-US"/>
        </w:rPr>
        <w:t xml:space="preserve"> </w:t>
      </w:r>
      <w:r>
        <w:rPr>
          <w:rFonts w:ascii="Times New Roman" w:hAnsi="Times New Roman"/>
          <w:sz w:val="24"/>
          <w:szCs w:val="24"/>
          <w:lang w:val="en-US"/>
        </w:rPr>
        <w:t>As aforementioned, a</w:t>
      </w:r>
      <w:r w:rsidRPr="00045C4C">
        <w:rPr>
          <w:rFonts w:ascii="Times New Roman" w:hAnsi="Times New Roman"/>
          <w:sz w:val="24"/>
          <w:szCs w:val="24"/>
          <w:lang w:val="en-US"/>
        </w:rPr>
        <w:t>rticle 7 of the EU Treaty permits the suspension of an EU member state</w:t>
      </w:r>
      <w:r>
        <w:rPr>
          <w:rFonts w:ascii="Times New Roman" w:hAnsi="Times New Roman"/>
          <w:sz w:val="24"/>
          <w:szCs w:val="24"/>
          <w:lang w:val="en-US"/>
        </w:rPr>
        <w:t>’s</w:t>
      </w:r>
      <w:r w:rsidRPr="00045C4C">
        <w:rPr>
          <w:rFonts w:ascii="Times New Roman" w:hAnsi="Times New Roman"/>
          <w:sz w:val="24"/>
          <w:szCs w:val="24"/>
          <w:lang w:val="en-US"/>
        </w:rPr>
        <w:t xml:space="preserve"> voting rights if actions pose a clear risk of a breach of the common values of the European Union, or if a member state is in serious breach of those values. </w:t>
      </w:r>
    </w:p>
    <w:p w:rsidR="00ED7740" w:rsidRDefault="00ED7740" w:rsidP="00740A9D">
      <w:pPr>
        <w:spacing w:line="360" w:lineRule="auto"/>
        <w:jc w:val="both"/>
        <w:rPr>
          <w:rFonts w:ascii="Times New Roman" w:hAnsi="Times New Roman"/>
          <w:sz w:val="24"/>
          <w:szCs w:val="24"/>
          <w:lang w:val="en-US"/>
        </w:rPr>
      </w:pPr>
      <w:r w:rsidRPr="00BC563A">
        <w:rPr>
          <w:rFonts w:ascii="Times New Roman" w:hAnsi="Times New Roman"/>
          <w:sz w:val="24"/>
          <w:szCs w:val="24"/>
          <w:lang w:val="en-US"/>
        </w:rPr>
        <w:t>The</w:t>
      </w:r>
      <w:r w:rsidRPr="00045C4C">
        <w:rPr>
          <w:rFonts w:ascii="Times New Roman" w:hAnsi="Times New Roman"/>
          <w:sz w:val="24"/>
          <w:szCs w:val="24"/>
          <w:lang w:val="en-US"/>
        </w:rPr>
        <w:t xml:space="preserve"> EU </w:t>
      </w:r>
      <w:r>
        <w:rPr>
          <w:rFonts w:ascii="Times New Roman" w:hAnsi="Times New Roman"/>
          <w:sz w:val="24"/>
          <w:szCs w:val="24"/>
          <w:lang w:val="en-US"/>
        </w:rPr>
        <w:t>would normally</w:t>
      </w:r>
      <w:r w:rsidRPr="00045C4C">
        <w:rPr>
          <w:rFonts w:ascii="Times New Roman" w:hAnsi="Times New Roman"/>
          <w:sz w:val="24"/>
          <w:szCs w:val="24"/>
          <w:lang w:val="en-US"/>
        </w:rPr>
        <w:t xml:space="preserve"> </w:t>
      </w:r>
      <w:r>
        <w:rPr>
          <w:rFonts w:ascii="Times New Roman" w:hAnsi="Times New Roman"/>
          <w:sz w:val="24"/>
          <w:szCs w:val="24"/>
          <w:lang w:val="en-US"/>
        </w:rPr>
        <w:t xml:space="preserve">have </w:t>
      </w:r>
      <w:r w:rsidRPr="00045C4C">
        <w:rPr>
          <w:rFonts w:ascii="Times New Roman" w:hAnsi="Times New Roman"/>
          <w:sz w:val="24"/>
          <w:szCs w:val="24"/>
          <w:lang w:val="en-US"/>
        </w:rPr>
        <w:t>take</w:t>
      </w:r>
      <w:r>
        <w:rPr>
          <w:rFonts w:ascii="Times New Roman" w:hAnsi="Times New Roman"/>
          <w:sz w:val="24"/>
          <w:szCs w:val="24"/>
          <w:lang w:val="en-US"/>
        </w:rPr>
        <w:t>n</w:t>
      </w:r>
      <w:r w:rsidRPr="00045C4C">
        <w:rPr>
          <w:rFonts w:ascii="Times New Roman" w:hAnsi="Times New Roman"/>
          <w:sz w:val="24"/>
          <w:szCs w:val="24"/>
          <w:lang w:val="en-US"/>
        </w:rPr>
        <w:t xml:space="preserve"> resolute action in response to </w:t>
      </w:r>
      <w:r>
        <w:rPr>
          <w:rFonts w:ascii="Times New Roman" w:hAnsi="Times New Roman"/>
          <w:sz w:val="24"/>
          <w:szCs w:val="24"/>
          <w:lang w:val="en-US"/>
        </w:rPr>
        <w:t xml:space="preserve">these constitutional </w:t>
      </w:r>
      <w:r w:rsidRPr="00045C4C">
        <w:rPr>
          <w:rFonts w:ascii="Times New Roman" w:hAnsi="Times New Roman"/>
          <w:sz w:val="24"/>
          <w:szCs w:val="24"/>
          <w:lang w:val="en-US"/>
        </w:rPr>
        <w:t>changes</w:t>
      </w:r>
      <w:r>
        <w:rPr>
          <w:rFonts w:ascii="Times New Roman" w:hAnsi="Times New Roman"/>
          <w:sz w:val="24"/>
          <w:szCs w:val="24"/>
          <w:lang w:val="en-US"/>
        </w:rPr>
        <w:t>,</w:t>
      </w:r>
      <w:r w:rsidRPr="00045C4C">
        <w:rPr>
          <w:rFonts w:ascii="Times New Roman" w:hAnsi="Times New Roman"/>
          <w:sz w:val="24"/>
          <w:szCs w:val="24"/>
          <w:lang w:val="en-US"/>
        </w:rPr>
        <w:t xml:space="preserve"> </w:t>
      </w:r>
      <w:r>
        <w:rPr>
          <w:rFonts w:ascii="Times New Roman" w:hAnsi="Times New Roman"/>
          <w:sz w:val="24"/>
          <w:szCs w:val="24"/>
          <w:lang w:val="en-US"/>
        </w:rPr>
        <w:t>proving</w:t>
      </w:r>
      <w:r w:rsidRPr="00045C4C">
        <w:rPr>
          <w:rFonts w:ascii="Times New Roman" w:hAnsi="Times New Roman"/>
          <w:sz w:val="24"/>
          <w:szCs w:val="24"/>
          <w:lang w:val="en-US"/>
        </w:rPr>
        <w:t xml:space="preserve"> the Hungarian government’s contempt for the rule of law. The government’s willingness to bypass the constitutional court</w:t>
      </w:r>
      <w:r>
        <w:rPr>
          <w:rFonts w:ascii="Times New Roman" w:hAnsi="Times New Roman"/>
          <w:sz w:val="24"/>
          <w:szCs w:val="24"/>
          <w:lang w:val="en-US"/>
        </w:rPr>
        <w:t>,</w:t>
      </w:r>
      <w:r w:rsidRPr="00045C4C">
        <w:rPr>
          <w:rFonts w:ascii="Times New Roman" w:hAnsi="Times New Roman"/>
          <w:sz w:val="24"/>
          <w:szCs w:val="24"/>
          <w:lang w:val="en-US"/>
        </w:rPr>
        <w:t xml:space="preserve"> and subvert the constitution for its own political ends</w:t>
      </w:r>
      <w:r>
        <w:rPr>
          <w:rFonts w:ascii="Times New Roman" w:hAnsi="Times New Roman"/>
          <w:sz w:val="24"/>
          <w:szCs w:val="24"/>
          <w:lang w:val="en-US"/>
        </w:rPr>
        <w:t>,</w:t>
      </w:r>
      <w:r w:rsidRPr="00045C4C">
        <w:rPr>
          <w:rFonts w:ascii="Times New Roman" w:hAnsi="Times New Roman"/>
          <w:sz w:val="24"/>
          <w:szCs w:val="24"/>
          <w:lang w:val="en-US"/>
        </w:rPr>
        <w:t xml:space="preserve"> underscores the ne</w:t>
      </w:r>
      <w:r>
        <w:rPr>
          <w:rFonts w:ascii="Times New Roman" w:hAnsi="Times New Roman"/>
          <w:sz w:val="24"/>
          <w:szCs w:val="24"/>
          <w:lang w:val="en-US"/>
        </w:rPr>
        <w:t xml:space="preserve">ed for a concerted EU response. This response was once again far from being imposed, due to the limited powers of the EU institutions and the internal debate over the political orientation of the Union itself. </w:t>
      </w:r>
    </w:p>
    <w:p w:rsidR="00ED7740" w:rsidRPr="00250081" w:rsidRDefault="00ED7740" w:rsidP="00740A9D">
      <w:pPr>
        <w:spacing w:line="360" w:lineRule="auto"/>
        <w:jc w:val="both"/>
        <w:rPr>
          <w:rFonts w:ascii="Times New Roman" w:hAnsi="Times New Roman"/>
          <w:color w:val="FF0000"/>
          <w:sz w:val="24"/>
          <w:szCs w:val="24"/>
          <w:shd w:val="clear" w:color="auto" w:fill="FFFFFF"/>
          <w:lang w:val="en-US"/>
        </w:rPr>
      </w:pPr>
      <w:r w:rsidRPr="00A1380C">
        <w:rPr>
          <w:rStyle w:val="apple-converted-space"/>
          <w:rFonts w:ascii="Times New Roman" w:hAnsi="Times New Roman"/>
          <w:b/>
          <w:sz w:val="24"/>
          <w:szCs w:val="24"/>
          <w:lang w:val="en-US"/>
        </w:rPr>
        <w:t>Hypotheses’ test</w:t>
      </w:r>
      <w:r>
        <w:rPr>
          <w:rStyle w:val="apple-converted-space"/>
          <w:rFonts w:ascii="Times New Roman" w:hAnsi="Times New Roman"/>
          <w:b/>
          <w:sz w:val="24"/>
          <w:szCs w:val="24"/>
          <w:lang w:val="en-US"/>
        </w:rPr>
        <w:t xml:space="preserve"> for both countries</w:t>
      </w:r>
      <w:r w:rsidRPr="00A1380C">
        <w:rPr>
          <w:rStyle w:val="apple-converted-space"/>
          <w:rFonts w:ascii="Times New Roman" w:hAnsi="Times New Roman"/>
          <w:b/>
          <w:sz w:val="24"/>
          <w:szCs w:val="24"/>
          <w:lang w:val="en-US"/>
        </w:rPr>
        <w:t xml:space="preserve">: </w:t>
      </w:r>
      <w:r w:rsidRPr="00A1380C">
        <w:rPr>
          <w:rFonts w:ascii="Times New Roman" w:hAnsi="Times New Roman"/>
          <w:sz w:val="24"/>
          <w:szCs w:val="24"/>
          <w:shd w:val="clear" w:color="auto" w:fill="FFFFFF"/>
          <w:lang w:val="en-US"/>
        </w:rPr>
        <w:t>By assuming th</w:t>
      </w:r>
      <w:r>
        <w:rPr>
          <w:rFonts w:ascii="Times New Roman" w:hAnsi="Times New Roman"/>
          <w:sz w:val="24"/>
          <w:szCs w:val="24"/>
          <w:shd w:val="clear" w:color="auto" w:fill="FFFFFF"/>
          <w:lang w:val="en-US"/>
        </w:rPr>
        <w:t>at</w:t>
      </w:r>
      <w:r w:rsidRPr="00A1380C">
        <w:rPr>
          <w:rFonts w:ascii="Times New Roman" w:hAnsi="Times New Roman"/>
          <w:sz w:val="24"/>
          <w:szCs w:val="24"/>
          <w:shd w:val="clear" w:color="auto" w:fill="FFFFFF"/>
          <w:lang w:val="en-US"/>
        </w:rPr>
        <w:t xml:space="preserve"> Hungarian democratic values adhere less to the EU </w:t>
      </w:r>
      <w:r>
        <w:rPr>
          <w:rFonts w:ascii="Times New Roman" w:hAnsi="Times New Roman"/>
          <w:sz w:val="24"/>
          <w:szCs w:val="24"/>
          <w:shd w:val="clear" w:color="auto" w:fill="FFFFFF"/>
          <w:lang w:val="en-US"/>
        </w:rPr>
        <w:t>ones</w:t>
      </w:r>
      <w:r w:rsidRPr="00A1380C">
        <w:rPr>
          <w:rFonts w:ascii="Times New Roman" w:hAnsi="Times New Roman"/>
          <w:sz w:val="24"/>
          <w:szCs w:val="24"/>
          <w:shd w:val="clear" w:color="auto" w:fill="FFFFFF"/>
          <w:lang w:val="en-US"/>
        </w:rPr>
        <w:t xml:space="preserve"> than in other Member States, the probability of an adequate defensiveness at the national level is lower (failure of the downloading process of Europeanization</w:t>
      </w:r>
      <w:r w:rsidRPr="009C1C4B">
        <w:rPr>
          <w:rFonts w:ascii="Times New Roman" w:hAnsi="Times New Roman"/>
          <w:sz w:val="24"/>
          <w:szCs w:val="24"/>
          <w:shd w:val="clear" w:color="auto" w:fill="FFFFFF"/>
          <w:lang w:val="en-US"/>
        </w:rPr>
        <w:t>?). The principal hypothesis could turn out to be falsifiable here and, consequently, lead us to verify which actors render the Europeanization of defensive mechanisms static (subsidiary hypothesis).</w:t>
      </w:r>
      <w:r w:rsidRPr="00250081">
        <w:rPr>
          <w:rFonts w:ascii="Times New Roman" w:hAnsi="Times New Roman"/>
          <w:color w:val="FF0000"/>
          <w:sz w:val="24"/>
          <w:szCs w:val="24"/>
          <w:shd w:val="clear" w:color="auto" w:fill="FFFFFF"/>
          <w:lang w:val="en-US"/>
        </w:rPr>
        <w:t xml:space="preserve"> </w:t>
      </w:r>
    </w:p>
    <w:p w:rsidR="00ED7740" w:rsidRDefault="00ED7740" w:rsidP="00740A9D">
      <w:pPr>
        <w:spacing w:line="360" w:lineRule="auto"/>
        <w:jc w:val="both"/>
        <w:rPr>
          <w:rFonts w:ascii="Times New Roman" w:hAnsi="Times New Roman"/>
          <w:sz w:val="24"/>
          <w:szCs w:val="24"/>
          <w:shd w:val="clear" w:color="auto" w:fill="FFFFFF"/>
          <w:lang w:val="en-US"/>
        </w:rPr>
      </w:pPr>
    </w:p>
    <w:p w:rsidR="00ED7740" w:rsidRDefault="00ED7740" w:rsidP="00740A9D">
      <w:pPr>
        <w:jc w:val="both"/>
        <w:rPr>
          <w:rFonts w:ascii="Times New Roman" w:hAnsi="Times New Roman"/>
          <w:b/>
          <w:sz w:val="24"/>
          <w:szCs w:val="24"/>
          <w:lang w:val="en-US"/>
        </w:rPr>
      </w:pPr>
      <w:r w:rsidRPr="00910845">
        <w:rPr>
          <w:rFonts w:ascii="Times New Roman" w:hAnsi="Times New Roman"/>
          <w:b/>
          <w:sz w:val="24"/>
          <w:szCs w:val="24"/>
          <w:lang w:val="en-US"/>
        </w:rPr>
        <w:t xml:space="preserve">Notes on Methodology </w:t>
      </w:r>
    </w:p>
    <w:p w:rsidR="00ED7740" w:rsidRPr="00910845" w:rsidRDefault="00ED7740" w:rsidP="00740A9D">
      <w:pPr>
        <w:jc w:val="both"/>
        <w:rPr>
          <w:rFonts w:ascii="Times New Roman" w:hAnsi="Times New Roman"/>
          <w:b/>
          <w:sz w:val="24"/>
          <w:szCs w:val="24"/>
          <w:lang w:val="en-US"/>
        </w:rPr>
      </w:pPr>
    </w:p>
    <w:p w:rsidR="00ED7740" w:rsidRPr="009C1C4B" w:rsidRDefault="00ED7740" w:rsidP="00740A9D">
      <w:pPr>
        <w:spacing w:line="360" w:lineRule="auto"/>
        <w:jc w:val="both"/>
        <w:rPr>
          <w:rFonts w:ascii="Times New Roman" w:hAnsi="Times New Roman"/>
          <w:b/>
          <w:sz w:val="24"/>
          <w:szCs w:val="24"/>
          <w:lang w:val="en-US"/>
        </w:rPr>
      </w:pPr>
      <w:r w:rsidRPr="009C1C4B">
        <w:rPr>
          <w:rFonts w:ascii="Times New Roman" w:hAnsi="Times New Roman"/>
          <w:b/>
          <w:sz w:val="24"/>
          <w:szCs w:val="24"/>
          <w:lang w:val="en-US"/>
        </w:rPr>
        <w:t xml:space="preserve">General methodological approach </w:t>
      </w:r>
    </w:p>
    <w:p w:rsidR="00ED7740" w:rsidRPr="00EA748A" w:rsidRDefault="00ED7740" w:rsidP="00740A9D">
      <w:pPr>
        <w:spacing w:line="360" w:lineRule="auto"/>
        <w:jc w:val="both"/>
        <w:rPr>
          <w:rFonts w:ascii="Times New Roman" w:hAnsi="Times New Roman"/>
          <w:sz w:val="24"/>
          <w:szCs w:val="24"/>
          <w:lang w:val="en-US"/>
        </w:rPr>
      </w:pPr>
      <w:r w:rsidRPr="00EA748A">
        <w:rPr>
          <w:rFonts w:ascii="Times New Roman" w:hAnsi="Times New Roman"/>
          <w:sz w:val="24"/>
          <w:szCs w:val="24"/>
          <w:lang w:val="en-US"/>
        </w:rPr>
        <w:t xml:space="preserve">As it is evident from the project description, my first </w:t>
      </w:r>
      <w:r w:rsidRPr="00EA748A">
        <w:rPr>
          <w:rFonts w:ascii="Times New Roman" w:hAnsi="Times New Roman"/>
          <w:b/>
          <w:sz w:val="24"/>
          <w:szCs w:val="24"/>
          <w:lang w:val="en-US"/>
        </w:rPr>
        <w:t>dependent variable is the level of existing defensiveness</w:t>
      </w:r>
      <w:r w:rsidRPr="00EA748A">
        <w:rPr>
          <w:rFonts w:ascii="Times New Roman" w:hAnsi="Times New Roman"/>
          <w:sz w:val="24"/>
          <w:szCs w:val="24"/>
          <w:lang w:val="en-US"/>
        </w:rPr>
        <w:t xml:space="preserve"> at the national level, such as </w:t>
      </w:r>
      <w:r w:rsidRPr="00EA748A">
        <w:rPr>
          <w:rFonts w:ascii="Times New Roman" w:hAnsi="Times New Roman"/>
          <w:b/>
          <w:sz w:val="24"/>
          <w:szCs w:val="24"/>
          <w:lang w:val="en-US"/>
        </w:rPr>
        <w:t>the level of repressiveness of the response towards extremism</w:t>
      </w:r>
      <w:r w:rsidRPr="00EA748A">
        <w:rPr>
          <w:rFonts w:ascii="Times New Roman" w:hAnsi="Times New Roman"/>
          <w:sz w:val="24"/>
          <w:szCs w:val="24"/>
          <w:lang w:val="en-US"/>
        </w:rPr>
        <w:t xml:space="preserve">. My second dependent variable, which is slightly different from the first one, focuses on: (i) the existence of defensiveness at the European level, in general, and (ii) the development of this defensiveness, when a specific national crisis breaks out, in particular. </w:t>
      </w:r>
    </w:p>
    <w:p w:rsidR="00ED7740" w:rsidRPr="00486781" w:rsidRDefault="00ED7740" w:rsidP="00740A9D">
      <w:pPr>
        <w:spacing w:line="360" w:lineRule="auto"/>
        <w:jc w:val="both"/>
        <w:rPr>
          <w:rFonts w:ascii="Times New Roman" w:hAnsi="Times New Roman"/>
          <w:sz w:val="24"/>
          <w:szCs w:val="24"/>
          <w:lang w:val="en-US"/>
        </w:rPr>
      </w:pPr>
      <w:r w:rsidRPr="00486781">
        <w:rPr>
          <w:rFonts w:ascii="Times New Roman" w:hAnsi="Times New Roman"/>
          <w:sz w:val="24"/>
          <w:szCs w:val="24"/>
          <w:lang w:val="en-US"/>
        </w:rPr>
        <w:t xml:space="preserve">Few of the independent variables could be the </w:t>
      </w:r>
      <w:r>
        <w:rPr>
          <w:rFonts w:ascii="Times New Roman" w:hAnsi="Times New Roman"/>
          <w:sz w:val="24"/>
          <w:szCs w:val="24"/>
          <w:lang w:val="en-US"/>
        </w:rPr>
        <w:t>depth</w:t>
      </w:r>
      <w:r w:rsidRPr="00486781">
        <w:rPr>
          <w:rFonts w:ascii="Times New Roman" w:hAnsi="Times New Roman"/>
          <w:sz w:val="24"/>
          <w:szCs w:val="24"/>
          <w:lang w:val="en-US"/>
        </w:rPr>
        <w:t xml:space="preserve"> of the EU integration of each Member State, the level of adherence to the European community of values, the occurrence or not of crisis moments, the public opinion’s reaction as well as the EU’s degree of interference (the interference can cover a broad range of measures, going from a recommendation or notification to the Member State having violated an EU fundamental value, to sanctions applied to the relevant Member State). </w:t>
      </w:r>
    </w:p>
    <w:p w:rsidR="00ED7740" w:rsidRDefault="00ED7740" w:rsidP="00740A9D">
      <w:pPr>
        <w:spacing w:line="360" w:lineRule="auto"/>
        <w:jc w:val="both"/>
        <w:rPr>
          <w:rFonts w:ascii="Times New Roman" w:hAnsi="Times New Roman"/>
          <w:sz w:val="24"/>
          <w:szCs w:val="24"/>
          <w:lang w:val="en-US"/>
        </w:rPr>
      </w:pPr>
      <w:r w:rsidRPr="00090E6D">
        <w:rPr>
          <w:rFonts w:ascii="Times New Roman" w:hAnsi="Times New Roman"/>
          <w:sz w:val="24"/>
          <w:szCs w:val="24"/>
          <w:lang w:val="en-US"/>
        </w:rPr>
        <w:t xml:space="preserve">I expect my </w:t>
      </w:r>
      <w:r>
        <w:rPr>
          <w:rFonts w:ascii="Times New Roman" w:hAnsi="Times New Roman"/>
          <w:sz w:val="24"/>
          <w:szCs w:val="24"/>
          <w:lang w:val="en-US"/>
        </w:rPr>
        <w:t xml:space="preserve">aforementioned </w:t>
      </w:r>
      <w:r w:rsidRPr="00090E6D">
        <w:rPr>
          <w:rFonts w:ascii="Times New Roman" w:hAnsi="Times New Roman"/>
          <w:sz w:val="24"/>
          <w:szCs w:val="24"/>
          <w:lang w:val="en-US"/>
        </w:rPr>
        <w:t>cases</w:t>
      </w:r>
      <w:r>
        <w:rPr>
          <w:rFonts w:ascii="Times New Roman" w:hAnsi="Times New Roman"/>
          <w:sz w:val="24"/>
          <w:szCs w:val="24"/>
          <w:lang w:val="en-US"/>
        </w:rPr>
        <w:t xml:space="preserve"> </w:t>
      </w:r>
      <w:r w:rsidRPr="00090E6D">
        <w:rPr>
          <w:rFonts w:ascii="Times New Roman" w:hAnsi="Times New Roman"/>
          <w:sz w:val="24"/>
          <w:szCs w:val="24"/>
          <w:lang w:val="en-US"/>
        </w:rPr>
        <w:t xml:space="preserve">to yield numerous within-case observations which can be used as a terrain for </w:t>
      </w:r>
      <w:r w:rsidRPr="00090E6D">
        <w:rPr>
          <w:rFonts w:ascii="Times New Roman" w:hAnsi="Times New Roman"/>
          <w:b/>
          <w:sz w:val="24"/>
          <w:szCs w:val="24"/>
          <w:lang w:val="en-US"/>
        </w:rPr>
        <w:t>systematic process-tracing</w:t>
      </w:r>
      <w:r w:rsidRPr="00090E6D">
        <w:rPr>
          <w:rFonts w:ascii="Times New Roman" w:hAnsi="Times New Roman"/>
          <w:sz w:val="24"/>
          <w:szCs w:val="24"/>
          <w:lang w:val="en-US"/>
        </w:rPr>
        <w:t>.</w:t>
      </w:r>
      <w:r w:rsidRPr="00E216A5">
        <w:rPr>
          <w:rFonts w:ascii="Times New Roman" w:hAnsi="Times New Roman"/>
          <w:sz w:val="24"/>
          <w:szCs w:val="24"/>
          <w:lang w:val="en-US"/>
        </w:rPr>
        <w:t xml:space="preserve">  As Peter Hall noted ‘process tracing is a method well suited to testing theories in a world marked by multiple interaction effects, where it is difficult to explain outcomes in terms of two or three independent variables’</w:t>
      </w:r>
      <w:r w:rsidRPr="00E216A5">
        <w:rPr>
          <w:rStyle w:val="FootnoteReference"/>
          <w:rFonts w:ascii="Times New Roman" w:hAnsi="Times New Roman"/>
          <w:sz w:val="24"/>
          <w:szCs w:val="24"/>
          <w:lang w:val="en-US"/>
        </w:rPr>
        <w:footnoteReference w:id="20"/>
      </w:r>
      <w:r w:rsidRPr="00E216A5">
        <w:rPr>
          <w:rFonts w:ascii="Times New Roman" w:hAnsi="Times New Roman"/>
          <w:sz w:val="24"/>
          <w:szCs w:val="24"/>
          <w:lang w:val="en-US"/>
        </w:rPr>
        <w:t>. The reason I consider the theory- oriented process-tracing potentially helpful in my comparative project</w:t>
      </w:r>
      <w:r>
        <w:rPr>
          <w:rFonts w:ascii="Times New Roman" w:hAnsi="Times New Roman"/>
          <w:sz w:val="24"/>
          <w:szCs w:val="24"/>
          <w:lang w:val="en-US"/>
        </w:rPr>
        <w:t xml:space="preserve"> is</w:t>
      </w:r>
      <w:r w:rsidRPr="00E216A5">
        <w:rPr>
          <w:rFonts w:ascii="Times New Roman" w:hAnsi="Times New Roman"/>
          <w:sz w:val="24"/>
          <w:szCs w:val="24"/>
          <w:lang w:val="en-US"/>
        </w:rPr>
        <w:t xml:space="preserve"> its ability to grasp the interaction impacts and the interaction timings.</w:t>
      </w:r>
      <w:r w:rsidRPr="00EE190E">
        <w:rPr>
          <w:rFonts w:ascii="Times New Roman" w:hAnsi="Times New Roman"/>
          <w:sz w:val="24"/>
          <w:szCs w:val="24"/>
          <w:lang w:val="en-US"/>
        </w:rPr>
        <w:t xml:space="preserve"> </w:t>
      </w:r>
      <w:r w:rsidRPr="00910845">
        <w:rPr>
          <w:rFonts w:ascii="Times New Roman" w:hAnsi="Times New Roman"/>
          <w:sz w:val="24"/>
          <w:szCs w:val="24"/>
          <w:lang w:val="en-US"/>
        </w:rPr>
        <w:t>It will be particularly enlightening to trace the different timings of the interaction and the dialogue between national defending democracies and the EU intervention. For instance, the timings of enactment and enforcement of militant restrictions will be tested in order to measure the level of Europeanization</w:t>
      </w:r>
      <w:r w:rsidRPr="00FD0021">
        <w:rPr>
          <w:rFonts w:ascii="Times New Roman" w:hAnsi="Times New Roman"/>
          <w:sz w:val="24"/>
          <w:szCs w:val="24"/>
          <w:lang w:val="en-US"/>
        </w:rPr>
        <w:t xml:space="preserve"> </w:t>
      </w:r>
      <w:r w:rsidRPr="00910845">
        <w:rPr>
          <w:rFonts w:ascii="Times New Roman" w:hAnsi="Times New Roman"/>
          <w:sz w:val="24"/>
          <w:szCs w:val="24"/>
          <w:lang w:val="en-US"/>
        </w:rPr>
        <w:t>at each time</w:t>
      </w:r>
      <w:r>
        <w:rPr>
          <w:rFonts w:ascii="Times New Roman" w:hAnsi="Times New Roman"/>
          <w:sz w:val="24"/>
          <w:szCs w:val="24"/>
          <w:lang w:val="en-US"/>
        </w:rPr>
        <w:t>.</w:t>
      </w:r>
    </w:p>
    <w:p w:rsidR="00ED7740" w:rsidRDefault="00ED7740" w:rsidP="00740A9D">
      <w:pPr>
        <w:spacing w:line="360" w:lineRule="auto"/>
        <w:jc w:val="both"/>
        <w:rPr>
          <w:rFonts w:ascii="Times New Roman" w:hAnsi="Times New Roman"/>
          <w:sz w:val="24"/>
          <w:szCs w:val="24"/>
          <w:lang w:val="en-US"/>
        </w:rPr>
      </w:pPr>
    </w:p>
    <w:p w:rsidR="00ED7740" w:rsidRPr="00A24131" w:rsidRDefault="00ED7740" w:rsidP="00740A9D">
      <w:pPr>
        <w:spacing w:line="360" w:lineRule="auto"/>
        <w:jc w:val="both"/>
        <w:rPr>
          <w:rFonts w:ascii="Times New Roman" w:hAnsi="Times New Roman"/>
          <w:b/>
          <w:sz w:val="24"/>
          <w:szCs w:val="24"/>
          <w:lang w:val="en-US"/>
        </w:rPr>
      </w:pPr>
      <w:r w:rsidRPr="00A24131">
        <w:rPr>
          <w:rFonts w:ascii="Times New Roman" w:hAnsi="Times New Roman"/>
          <w:b/>
          <w:sz w:val="24"/>
          <w:szCs w:val="24"/>
          <w:lang w:val="en-US"/>
        </w:rPr>
        <w:t xml:space="preserve">Empirical tools </w:t>
      </w:r>
    </w:p>
    <w:p w:rsidR="00ED7740" w:rsidRPr="00197A5D" w:rsidRDefault="00ED7740" w:rsidP="00740A9D">
      <w:pPr>
        <w:spacing w:line="360" w:lineRule="auto"/>
        <w:jc w:val="both"/>
        <w:rPr>
          <w:rFonts w:ascii="Times New Roman" w:hAnsi="Times New Roman"/>
          <w:sz w:val="24"/>
          <w:szCs w:val="24"/>
          <w:lang w:val="en-US"/>
        </w:rPr>
      </w:pPr>
      <w:r w:rsidRPr="00197A5D">
        <w:rPr>
          <w:rFonts w:ascii="Times New Roman" w:hAnsi="Times New Roman"/>
          <w:sz w:val="24"/>
          <w:szCs w:val="24"/>
          <w:lang w:val="en-US"/>
        </w:rPr>
        <w:t xml:space="preserve">As far as the utilisation of empirical material is concerned, I will proceed to test the hypotheses mentioned above, at different crisis moments, through accessing EU documentation, through analysing speeches at both national and European levels, policy statements, along with primary and secondary sources with data on militant restrictions and through conducting interviews. </w:t>
      </w:r>
    </w:p>
    <w:p w:rsidR="00ED7740" w:rsidRPr="00197A5D" w:rsidRDefault="00ED7740" w:rsidP="00740A9D">
      <w:pPr>
        <w:spacing w:line="360" w:lineRule="auto"/>
        <w:jc w:val="both"/>
        <w:rPr>
          <w:rFonts w:ascii="Times New Roman" w:hAnsi="Times New Roman"/>
          <w:sz w:val="24"/>
          <w:szCs w:val="24"/>
          <w:lang w:val="en-US"/>
        </w:rPr>
      </w:pPr>
      <w:r w:rsidRPr="00197A5D">
        <w:rPr>
          <w:rFonts w:ascii="Times New Roman" w:hAnsi="Times New Roman"/>
          <w:sz w:val="24"/>
          <w:szCs w:val="24"/>
          <w:lang w:val="en-US"/>
        </w:rPr>
        <w:t>The level of adherence to the EU community of values will be examined, from both a qualitative and a quantitative perspective, in order to link hard polling data with the driving forces and the ideas that led to those results.</w:t>
      </w:r>
    </w:p>
    <w:p w:rsidR="00ED7740" w:rsidRPr="001F1EE8" w:rsidRDefault="00ED7740" w:rsidP="00740A9D">
      <w:pPr>
        <w:spacing w:line="360" w:lineRule="auto"/>
        <w:jc w:val="both"/>
        <w:rPr>
          <w:rFonts w:ascii="Times New Roman" w:hAnsi="Times New Roman"/>
          <w:sz w:val="24"/>
          <w:szCs w:val="24"/>
          <w:lang w:val="en-US"/>
        </w:rPr>
      </w:pPr>
      <w:r w:rsidRPr="003B6D3F">
        <w:rPr>
          <w:rFonts w:ascii="Times New Roman" w:hAnsi="Times New Roman"/>
          <w:sz w:val="24"/>
          <w:szCs w:val="24"/>
          <w:lang w:val="en-US"/>
        </w:rPr>
        <w:t xml:space="preserve">Euro barometers, as an empirical tool, could help measure the adherence to the EU community of values (one of the independent variables, determinative for the testability of the </w:t>
      </w:r>
      <w:r w:rsidRPr="003B6D3F">
        <w:rPr>
          <w:rFonts w:ascii="Times New Roman" w:hAnsi="Times New Roman"/>
          <w:sz w:val="24"/>
          <w:szCs w:val="24"/>
          <w:u w:val="single"/>
          <w:lang w:val="en-US"/>
        </w:rPr>
        <w:t>principal hypothesis</w:t>
      </w:r>
      <w:r w:rsidRPr="003B6D3F">
        <w:rPr>
          <w:rFonts w:ascii="Times New Roman" w:hAnsi="Times New Roman"/>
          <w:sz w:val="24"/>
          <w:szCs w:val="24"/>
          <w:lang w:val="en-US"/>
        </w:rPr>
        <w:t>). Apart from Standard Euro barometers measuring how often, and how much, Member States identify Europe with democracy, there are even more specific ones, focusing on the values of the Europeans</w:t>
      </w:r>
      <w:r w:rsidRPr="003B6D3F">
        <w:rPr>
          <w:rStyle w:val="FootnoteReference"/>
          <w:rFonts w:ascii="Times New Roman" w:hAnsi="Times New Roman"/>
          <w:sz w:val="24"/>
          <w:szCs w:val="24"/>
          <w:lang w:val="en-US"/>
        </w:rPr>
        <w:footnoteReference w:id="21"/>
      </w:r>
      <w:r w:rsidRPr="003B6D3F">
        <w:rPr>
          <w:rFonts w:ascii="Times New Roman" w:hAnsi="Times New Roman"/>
          <w:sz w:val="24"/>
          <w:szCs w:val="24"/>
          <w:lang w:val="en-US"/>
        </w:rPr>
        <w:t>. For instance, the Eurobarometer 69 attempts to ascertain,</w:t>
      </w:r>
      <w:r>
        <w:rPr>
          <w:rFonts w:ascii="Times New Roman" w:hAnsi="Times New Roman"/>
          <w:sz w:val="24"/>
          <w:szCs w:val="24"/>
          <w:lang w:val="en-US"/>
        </w:rPr>
        <w:t xml:space="preserve"> </w:t>
      </w:r>
      <w:r w:rsidRPr="003B6D3F">
        <w:rPr>
          <w:rFonts w:ascii="Times New Roman" w:hAnsi="Times New Roman"/>
          <w:sz w:val="24"/>
          <w:szCs w:val="24"/>
          <w:lang w:val="en-US"/>
        </w:rPr>
        <w:t>at first, whether Europeans believe that the European Union has a set of common values, and then to identify these common European values. It is interesting to note that both the vertical level (identification of national values with EU values) and the horizontal level (the closeness of Member States in terms of values) are being discussed.</w:t>
      </w:r>
      <w:r w:rsidRPr="0009611B">
        <w:rPr>
          <w:rFonts w:ascii="Times New Roman" w:hAnsi="Times New Roman"/>
          <w:color w:val="1F497D"/>
          <w:sz w:val="24"/>
          <w:szCs w:val="24"/>
          <w:lang w:val="en-US"/>
        </w:rPr>
        <w:t xml:space="preserve"> </w:t>
      </w:r>
      <w:r w:rsidRPr="001F1EE8">
        <w:rPr>
          <w:rFonts w:ascii="Times New Roman" w:hAnsi="Times New Roman"/>
          <w:sz w:val="24"/>
          <w:szCs w:val="24"/>
          <w:lang w:val="en-US"/>
        </w:rPr>
        <w:t>Most of the time, the analysis of the results by country reveals relatively homogeneous trends</w:t>
      </w:r>
      <w:r>
        <w:rPr>
          <w:rFonts w:ascii="Times New Roman" w:hAnsi="Times New Roman"/>
          <w:sz w:val="24"/>
          <w:szCs w:val="24"/>
          <w:lang w:val="en-US"/>
        </w:rPr>
        <w:t xml:space="preserve">, </w:t>
      </w:r>
      <w:r w:rsidRPr="001F1EE8">
        <w:rPr>
          <w:rFonts w:ascii="Times New Roman" w:hAnsi="Times New Roman"/>
          <w:sz w:val="24"/>
          <w:szCs w:val="24"/>
          <w:lang w:val="en-US"/>
        </w:rPr>
        <w:t xml:space="preserve">while still allowing us to identify important differentiating nuances with regard to each Member State’s constitutional tradition. Taking as an example one of our possible case studies, in Austria, </w:t>
      </w:r>
      <w:r>
        <w:rPr>
          <w:rFonts w:ascii="Times New Roman" w:hAnsi="Times New Roman"/>
          <w:sz w:val="24"/>
          <w:szCs w:val="24"/>
          <w:lang w:val="en-US"/>
        </w:rPr>
        <w:t>50%</w:t>
      </w:r>
      <w:r w:rsidRPr="001F1EE8">
        <w:rPr>
          <w:rFonts w:ascii="Times New Roman" w:hAnsi="Times New Roman"/>
          <w:sz w:val="24"/>
          <w:szCs w:val="24"/>
          <w:lang w:val="en-US"/>
        </w:rPr>
        <w:t xml:space="preserve"> of the respondents state that the Member States are different from each other in terms of values. </w:t>
      </w:r>
    </w:p>
    <w:p w:rsidR="00ED7740" w:rsidRPr="00AE1FF6" w:rsidRDefault="00ED7740" w:rsidP="00740A9D">
      <w:pPr>
        <w:spacing w:line="360" w:lineRule="auto"/>
        <w:jc w:val="both"/>
        <w:rPr>
          <w:rFonts w:ascii="Times New Roman" w:hAnsi="Times New Roman"/>
          <w:sz w:val="24"/>
          <w:szCs w:val="24"/>
          <w:lang w:val="en-US"/>
        </w:rPr>
      </w:pPr>
      <w:r w:rsidRPr="00AE1FF6">
        <w:rPr>
          <w:rFonts w:ascii="Times New Roman" w:hAnsi="Times New Roman"/>
          <w:sz w:val="24"/>
          <w:szCs w:val="24"/>
          <w:lang w:val="en-US"/>
        </w:rPr>
        <w:t>Provided that Euro barometers fall mainly within the quantitative part of the analysis - except some qualitative surveys investigating in-depth the motivations and the reactions of selected Member States - other tools, such as qualitative reports of the EU institution and EU agencies, should be consulted. For instance, the recent report of the European Agency for Fundamental Rights, entitled ‘Racism, discrimination, intolerance and extremism: Learning from experiences in Greece and Hungary’</w:t>
      </w:r>
      <w:r w:rsidRPr="00AE1FF6">
        <w:rPr>
          <w:rStyle w:val="FootnoteReference"/>
          <w:rFonts w:ascii="Times New Roman" w:hAnsi="Times New Roman"/>
          <w:sz w:val="24"/>
          <w:szCs w:val="24"/>
        </w:rPr>
        <w:footnoteReference w:id="22"/>
      </w:r>
      <w:r w:rsidRPr="00AE1FF6">
        <w:rPr>
          <w:rFonts w:ascii="Times New Roman" w:hAnsi="Times New Roman"/>
          <w:sz w:val="24"/>
          <w:szCs w:val="24"/>
          <w:lang w:val="en-US"/>
        </w:rPr>
        <w:t xml:space="preserve">, the FRA examines the responses of Greece and Hungary, to demonstrate the need for more targeted and effective measures to combat these phenomena throughout the EU. The report ends by proposing a number of steps to improve the situation at both the national and the EU level, and by giving an overview of the current EU funding opportunities that could support policies and actions dealing with extremism. </w:t>
      </w:r>
    </w:p>
    <w:p w:rsidR="00ED7740" w:rsidRPr="0010319F" w:rsidRDefault="00ED7740" w:rsidP="00740A9D">
      <w:pPr>
        <w:spacing w:line="360" w:lineRule="auto"/>
        <w:jc w:val="both"/>
        <w:rPr>
          <w:rFonts w:ascii="Times New Roman" w:hAnsi="Times New Roman"/>
          <w:sz w:val="24"/>
          <w:szCs w:val="24"/>
          <w:lang w:val="en-US"/>
        </w:rPr>
      </w:pPr>
      <w:r w:rsidRPr="0010319F">
        <w:rPr>
          <w:rFonts w:ascii="Times New Roman" w:hAnsi="Times New Roman"/>
          <w:sz w:val="24"/>
          <w:szCs w:val="24"/>
          <w:lang w:val="en-US"/>
        </w:rPr>
        <w:t xml:space="preserve">Another example could be, at the European Council’s level this time, the report compiled for Greece by Nils Muiznieks, the Human Rights Commissioner. Some policy briefings of think tanks enhancing the ‘best practices exchange’ strategy might also be helpful in my research project. As part of the Institute for Strategic Dialogue’s stream of work on the far right, in 2012-2014, ISD is partnering with the Swedish Ministry of Justice on a pan-European project aiming at enhancing the understanding of what would work in preventing and countering right-wing extremism. This two year project, funded by the European Commission, will document the history, existence and varieties of right-wing extremism in 10 countries. I would be particularly motivated to be associated with similar projects during my doctoral research.  </w:t>
      </w:r>
    </w:p>
    <w:p w:rsidR="00ED7740" w:rsidRPr="00BB780B" w:rsidRDefault="00ED7740" w:rsidP="00740A9D">
      <w:pPr>
        <w:autoSpaceDE w:val="0"/>
        <w:autoSpaceDN w:val="0"/>
        <w:adjustRightInd w:val="0"/>
        <w:spacing w:after="0" w:line="360" w:lineRule="auto"/>
        <w:jc w:val="both"/>
        <w:rPr>
          <w:rFonts w:ascii="Times New Roman" w:hAnsi="Times New Roman"/>
          <w:sz w:val="24"/>
          <w:szCs w:val="24"/>
          <w:lang w:val="en-US"/>
        </w:rPr>
      </w:pPr>
      <w:r w:rsidRPr="00BB780B">
        <w:rPr>
          <w:rFonts w:ascii="Times New Roman" w:hAnsi="Times New Roman"/>
          <w:sz w:val="24"/>
          <w:szCs w:val="24"/>
          <w:lang w:val="en-US"/>
        </w:rPr>
        <w:t>Regarding the interviews, fact-finding meetings in the Member States with government officials, prosecutors, law enforcement agencies, members of parliament, statutory human rights bodies and civil society organi</w:t>
      </w:r>
      <w:r>
        <w:rPr>
          <w:rFonts w:ascii="Times New Roman" w:hAnsi="Times New Roman"/>
          <w:sz w:val="24"/>
          <w:szCs w:val="24"/>
          <w:lang w:val="en-US"/>
        </w:rPr>
        <w:t>s</w:t>
      </w:r>
      <w:r w:rsidRPr="00BB780B">
        <w:rPr>
          <w:rFonts w:ascii="Times New Roman" w:hAnsi="Times New Roman"/>
          <w:sz w:val="24"/>
          <w:szCs w:val="24"/>
          <w:lang w:val="en-US"/>
        </w:rPr>
        <w:t>ations will be essential in order to closely examine the opportunity of responses by public authorities and other relevant public actors to</w:t>
      </w:r>
      <w:r w:rsidRPr="00BB780B">
        <w:rPr>
          <w:rFonts w:ascii="Times New Roman" w:hAnsi="Times New Roman"/>
          <w:sz w:val="18"/>
          <w:szCs w:val="18"/>
          <w:lang w:val="en-US"/>
        </w:rPr>
        <w:t xml:space="preserve"> </w:t>
      </w:r>
      <w:r w:rsidRPr="00BB780B">
        <w:rPr>
          <w:rFonts w:ascii="Times New Roman" w:hAnsi="Times New Roman"/>
          <w:sz w:val="24"/>
          <w:szCs w:val="24"/>
          <w:lang w:val="en-US"/>
        </w:rPr>
        <w:t>counter extremism.</w:t>
      </w:r>
      <w:r w:rsidRPr="00BB780B">
        <w:rPr>
          <w:rFonts w:ascii="Times New Roman" w:hAnsi="Times New Roman"/>
          <w:sz w:val="18"/>
          <w:szCs w:val="18"/>
          <w:lang w:val="en-US"/>
        </w:rPr>
        <w:t xml:space="preserve"> </w:t>
      </w:r>
      <w:r w:rsidRPr="00BB780B">
        <w:rPr>
          <w:rFonts w:ascii="Times New Roman" w:hAnsi="Times New Roman"/>
          <w:sz w:val="24"/>
          <w:szCs w:val="24"/>
          <w:lang w:val="en-US"/>
        </w:rPr>
        <w:t xml:space="preserve">An analysis of the government’s policy statements in relation to the non partisan elites’ recommendations or the courts’ decisions will assist us in verifying </w:t>
      </w:r>
      <w:r w:rsidRPr="00BB780B">
        <w:rPr>
          <w:rFonts w:ascii="Times New Roman" w:hAnsi="Times New Roman"/>
          <w:sz w:val="24"/>
          <w:szCs w:val="24"/>
          <w:u w:val="single"/>
          <w:lang w:val="en-US"/>
        </w:rPr>
        <w:t>the subsidiary hypothesis</w:t>
      </w:r>
      <w:r w:rsidRPr="00BB780B">
        <w:rPr>
          <w:rFonts w:ascii="Times New Roman" w:hAnsi="Times New Roman"/>
          <w:sz w:val="24"/>
          <w:szCs w:val="24"/>
          <w:lang w:val="en-US"/>
        </w:rPr>
        <w:t>. This includes identifying barriers that may prevent</w:t>
      </w:r>
      <w:r w:rsidRPr="00BB780B">
        <w:rPr>
          <w:rFonts w:ascii="Times New Roman" w:hAnsi="Times New Roman"/>
          <w:sz w:val="18"/>
          <w:szCs w:val="18"/>
          <w:lang w:val="en-US"/>
        </w:rPr>
        <w:t xml:space="preserve"> </w:t>
      </w:r>
      <w:r w:rsidRPr="00BB780B">
        <w:rPr>
          <w:rFonts w:ascii="Times New Roman" w:hAnsi="Times New Roman"/>
          <w:sz w:val="24"/>
          <w:szCs w:val="24"/>
          <w:lang w:val="en-US"/>
        </w:rPr>
        <w:t>the effective implementation of actions taken and what could be done to remove such barriers, to take advantage of drivers that may not be fully used as well as the transferability of successful defending mechanisms from one Member State to another. However, the feasibility of these meetings and interviews with high level officials could be questioned as there will be no support, through an EU agency or an EU institution, from national liaison officers for</w:t>
      </w:r>
      <w:r w:rsidRPr="00BB780B">
        <w:rPr>
          <w:rFonts w:ascii="Times New Roman" w:hAnsi="Times New Roman"/>
          <w:i/>
          <w:lang w:val="en-US"/>
        </w:rPr>
        <w:t xml:space="preserve"> </w:t>
      </w:r>
      <w:r w:rsidRPr="00BB780B">
        <w:rPr>
          <w:rFonts w:ascii="Times New Roman" w:hAnsi="Times New Roman"/>
          <w:sz w:val="24"/>
          <w:szCs w:val="24"/>
          <w:lang w:val="en-US"/>
        </w:rPr>
        <w:t xml:space="preserve">the respective Member States. </w:t>
      </w:r>
    </w:p>
    <w:p w:rsidR="00ED7740" w:rsidRPr="00A347F5" w:rsidRDefault="00ED7740" w:rsidP="00740A9D">
      <w:pPr>
        <w:autoSpaceDE w:val="0"/>
        <w:autoSpaceDN w:val="0"/>
        <w:adjustRightInd w:val="0"/>
        <w:spacing w:after="0" w:line="360" w:lineRule="auto"/>
        <w:jc w:val="both"/>
        <w:rPr>
          <w:rFonts w:ascii="Times New Roman" w:hAnsi="Times New Roman"/>
          <w:color w:val="1F497D"/>
          <w:sz w:val="24"/>
          <w:szCs w:val="24"/>
          <w:lang w:val="en-US"/>
        </w:rPr>
      </w:pPr>
    </w:p>
    <w:p w:rsidR="00ED7740" w:rsidRPr="00BB780B" w:rsidRDefault="00ED7740" w:rsidP="00740A9D">
      <w:pPr>
        <w:autoSpaceDE w:val="0"/>
        <w:autoSpaceDN w:val="0"/>
        <w:adjustRightInd w:val="0"/>
        <w:spacing w:after="0" w:line="360" w:lineRule="auto"/>
        <w:jc w:val="both"/>
        <w:rPr>
          <w:rFonts w:ascii="Times New Roman" w:hAnsi="Times New Roman"/>
          <w:sz w:val="24"/>
          <w:szCs w:val="24"/>
          <w:lang w:val="en-US"/>
        </w:rPr>
      </w:pPr>
      <w:r w:rsidRPr="00BB780B">
        <w:rPr>
          <w:rFonts w:ascii="Times New Roman" w:hAnsi="Times New Roman"/>
          <w:sz w:val="24"/>
          <w:szCs w:val="24"/>
          <w:lang w:val="en-US"/>
        </w:rPr>
        <w:t xml:space="preserve">Undertaking fieldwork in the EU institutions and agencies, such as at the DG Justice of the European Commission and the EU Agency for Fundamental Rights, might be an alternative, while undertaking fieldwork at the national level Ministries (Interior and Justice) might be more problematic, due to confidentiality issues (sensitive information, classified documents etc.). </w:t>
      </w:r>
    </w:p>
    <w:p w:rsidR="00ED7740" w:rsidRPr="00A347F5" w:rsidRDefault="00ED7740" w:rsidP="00740A9D">
      <w:pPr>
        <w:autoSpaceDE w:val="0"/>
        <w:autoSpaceDN w:val="0"/>
        <w:adjustRightInd w:val="0"/>
        <w:spacing w:after="0" w:line="360" w:lineRule="auto"/>
        <w:jc w:val="both"/>
        <w:rPr>
          <w:rFonts w:ascii="Times New Roman" w:hAnsi="Times New Roman"/>
          <w:color w:val="1F497D"/>
          <w:sz w:val="24"/>
          <w:szCs w:val="24"/>
          <w:lang w:val="en-US"/>
        </w:rPr>
      </w:pPr>
    </w:p>
    <w:p w:rsidR="00ED7740" w:rsidRPr="00A740AB" w:rsidRDefault="00ED7740" w:rsidP="00740A9D">
      <w:pPr>
        <w:spacing w:line="360" w:lineRule="auto"/>
        <w:jc w:val="both"/>
        <w:rPr>
          <w:rFonts w:ascii="Times New Roman" w:hAnsi="Times New Roman"/>
          <w:b/>
          <w:sz w:val="24"/>
          <w:szCs w:val="24"/>
          <w:lang w:val="en-US"/>
        </w:rPr>
      </w:pPr>
      <w:r w:rsidRPr="00A740AB">
        <w:rPr>
          <w:rFonts w:ascii="Times New Roman" w:hAnsi="Times New Roman"/>
          <w:b/>
          <w:sz w:val="24"/>
          <w:szCs w:val="24"/>
          <w:lang w:val="en-US"/>
        </w:rPr>
        <w:t>Le</w:t>
      </w:r>
      <w:r>
        <w:rPr>
          <w:rFonts w:ascii="Times New Roman" w:hAnsi="Times New Roman"/>
          <w:b/>
          <w:sz w:val="24"/>
          <w:szCs w:val="24"/>
          <w:lang w:val="en-US"/>
        </w:rPr>
        <w:t>arning</w:t>
      </w:r>
      <w:r w:rsidRPr="00A740AB">
        <w:rPr>
          <w:rFonts w:ascii="Times New Roman" w:hAnsi="Times New Roman"/>
          <w:b/>
          <w:sz w:val="24"/>
          <w:szCs w:val="24"/>
          <w:lang w:val="en-US"/>
        </w:rPr>
        <w:t xml:space="preserve"> from the US</w:t>
      </w:r>
      <w:r>
        <w:rPr>
          <w:rFonts w:ascii="Times New Roman" w:hAnsi="Times New Roman"/>
          <w:b/>
          <w:sz w:val="24"/>
          <w:szCs w:val="24"/>
          <w:lang w:val="en-US"/>
        </w:rPr>
        <w:t xml:space="preserve"> model?</w:t>
      </w:r>
    </w:p>
    <w:p w:rsidR="00ED7740" w:rsidRDefault="00ED7740" w:rsidP="00740A9D">
      <w:pPr>
        <w:spacing w:line="360" w:lineRule="auto"/>
        <w:jc w:val="both"/>
        <w:rPr>
          <w:rFonts w:ascii="Times New Roman" w:hAnsi="Times New Roman"/>
          <w:sz w:val="24"/>
          <w:szCs w:val="24"/>
          <w:lang w:val="en-US"/>
        </w:rPr>
      </w:pPr>
      <w:r>
        <w:rPr>
          <w:rFonts w:ascii="Times New Roman" w:hAnsi="Times New Roman"/>
          <w:sz w:val="24"/>
          <w:szCs w:val="24"/>
          <w:lang w:val="en-US"/>
        </w:rPr>
        <w:t>Due to the fact that the legal nature (sometimes seen as quasi federal) of the EU is widely debated, one could refer to the US federal system to observe how anti-extremist legislations are imposed on the states through a downloading process. The US system, being ‘</w:t>
      </w:r>
      <w:r w:rsidRPr="00A740AB">
        <w:rPr>
          <w:rFonts w:ascii="Times New Roman" w:hAnsi="Times New Roman"/>
          <w:sz w:val="24"/>
          <w:szCs w:val="24"/>
          <w:lang w:val="en-US"/>
        </w:rPr>
        <w:t>a leader in making racial discrimi</w:t>
      </w:r>
      <w:r>
        <w:rPr>
          <w:rFonts w:ascii="Times New Roman" w:hAnsi="Times New Roman"/>
          <w:sz w:val="24"/>
          <w:szCs w:val="24"/>
          <w:lang w:val="en-US"/>
        </w:rPr>
        <w:t>nation and hate crimes illegal’</w:t>
      </w:r>
      <w:r>
        <w:rPr>
          <w:rStyle w:val="FootnoteReference"/>
          <w:rFonts w:ascii="Times New Roman" w:hAnsi="Times New Roman"/>
          <w:sz w:val="24"/>
          <w:szCs w:val="24"/>
          <w:lang w:val="en-US"/>
        </w:rPr>
        <w:footnoteReference w:id="23"/>
      </w:r>
      <w:r>
        <w:rPr>
          <w:rFonts w:ascii="Times New Roman" w:hAnsi="Times New Roman"/>
          <w:sz w:val="24"/>
          <w:szCs w:val="24"/>
          <w:lang w:val="en-US"/>
        </w:rPr>
        <w:t>, could eventually serve as a tool in the attempt to verify how Europeanization could be operationalized. However, Bleich argues that while the Supreme Court has ‘</w:t>
      </w:r>
      <w:r w:rsidRPr="0006634C">
        <w:rPr>
          <w:rFonts w:ascii="Times New Roman" w:hAnsi="Times New Roman"/>
          <w:sz w:val="24"/>
          <w:szCs w:val="24"/>
          <w:lang w:val="en-US"/>
        </w:rPr>
        <w:t xml:space="preserve">monopolized decision-making in the realms of speech and association, it has largely </w:t>
      </w:r>
      <w:r w:rsidRPr="00A740AB">
        <w:rPr>
          <w:rFonts w:ascii="Times New Roman" w:hAnsi="Times New Roman"/>
          <w:b/>
          <w:sz w:val="24"/>
          <w:szCs w:val="24"/>
          <w:lang w:val="en-US"/>
        </w:rPr>
        <w:t>relegated antidiscrimination and hate crime laws to state and federal legislatures</w:t>
      </w:r>
      <w:r>
        <w:rPr>
          <w:rFonts w:ascii="Times New Roman" w:hAnsi="Times New Roman"/>
          <w:sz w:val="24"/>
          <w:szCs w:val="24"/>
          <w:lang w:val="en-US"/>
        </w:rPr>
        <w:t>’</w:t>
      </w:r>
      <w:r>
        <w:rPr>
          <w:rStyle w:val="FootnoteReference"/>
          <w:rFonts w:ascii="Times New Roman" w:hAnsi="Times New Roman"/>
          <w:sz w:val="24"/>
          <w:szCs w:val="24"/>
          <w:lang w:val="en-US"/>
        </w:rPr>
        <w:footnoteReference w:id="24"/>
      </w:r>
      <w:r w:rsidRPr="0006634C">
        <w:rPr>
          <w:rFonts w:ascii="Times New Roman" w:hAnsi="Times New Roman"/>
          <w:sz w:val="24"/>
          <w:szCs w:val="24"/>
          <w:lang w:val="en-US"/>
        </w:rPr>
        <w:t>. In this context,</w:t>
      </w:r>
      <w:r>
        <w:rPr>
          <w:rFonts w:ascii="Times New Roman" w:hAnsi="Times New Roman"/>
          <w:sz w:val="24"/>
          <w:szCs w:val="24"/>
          <w:lang w:val="en-US"/>
        </w:rPr>
        <w:t xml:space="preserve"> he explains that</w:t>
      </w:r>
      <w:r w:rsidRPr="0006634C">
        <w:rPr>
          <w:rFonts w:ascii="Times New Roman" w:hAnsi="Times New Roman"/>
          <w:sz w:val="24"/>
          <w:szCs w:val="24"/>
          <w:lang w:val="en-US"/>
        </w:rPr>
        <w:t xml:space="preserve"> the civil rights movement has pressed legislatures to enact hate crime statutes, many of which were passed following unfortunate, high profile hate crimes </w:t>
      </w:r>
      <w:r>
        <w:rPr>
          <w:rFonts w:ascii="Times New Roman" w:hAnsi="Times New Roman"/>
          <w:sz w:val="24"/>
          <w:szCs w:val="24"/>
          <w:lang w:val="en-US"/>
        </w:rPr>
        <w:t>which</w:t>
      </w:r>
      <w:r w:rsidRPr="0006634C">
        <w:rPr>
          <w:rFonts w:ascii="Times New Roman" w:hAnsi="Times New Roman"/>
          <w:sz w:val="24"/>
          <w:szCs w:val="24"/>
          <w:lang w:val="en-US"/>
        </w:rPr>
        <w:t xml:space="preserve"> created public pressure for change.</w:t>
      </w:r>
      <w:r>
        <w:rPr>
          <w:rFonts w:ascii="Times New Roman" w:hAnsi="Times New Roman"/>
          <w:sz w:val="24"/>
          <w:szCs w:val="24"/>
          <w:lang w:val="en-US"/>
        </w:rPr>
        <w:t xml:space="preserve"> </w:t>
      </w:r>
    </w:p>
    <w:p w:rsidR="00ED7740" w:rsidRPr="000C11FE" w:rsidRDefault="00ED7740" w:rsidP="00740A9D">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Always bearing in mind the limitations of exporting a US model of defending mechanisms to the EU, due to the primordial difference in the legal nature of the two systems, the academic literature has equally revealed important cultural discrepancies on restrictions on freedom of </w:t>
      </w:r>
      <w:r w:rsidRPr="000C11FE">
        <w:rPr>
          <w:rFonts w:ascii="Times New Roman" w:hAnsi="Times New Roman"/>
          <w:lang w:val="en-US"/>
        </w:rPr>
        <w:t>speech</w:t>
      </w:r>
      <w:r w:rsidRPr="000C11FE">
        <w:rPr>
          <w:rFonts w:ascii="Times New Roman" w:hAnsi="Times New Roman"/>
          <w:sz w:val="24"/>
          <w:szCs w:val="24"/>
          <w:lang w:val="en-US"/>
        </w:rPr>
        <w:t>. T</w:t>
      </w:r>
      <w:r>
        <w:rPr>
          <w:rFonts w:ascii="Times New Roman" w:hAnsi="Times New Roman"/>
          <w:color w:val="000000"/>
          <w:sz w:val="24"/>
          <w:szCs w:val="24"/>
          <w:shd w:val="clear" w:color="auto" w:fill="FFFFFF"/>
          <w:lang w:val="en-US"/>
        </w:rPr>
        <w:t>here is an important continental divide</w:t>
      </w:r>
      <w:r w:rsidRPr="000C11FE">
        <w:rPr>
          <w:rFonts w:ascii="Times New Roman" w:hAnsi="Times New Roman"/>
          <w:color w:val="000000"/>
          <w:sz w:val="24"/>
          <w:szCs w:val="24"/>
          <w:shd w:val="clear" w:color="auto" w:fill="FFFFFF"/>
          <w:lang w:val="en-US"/>
        </w:rPr>
        <w:t>: Americans tend to be pro-free speech and Europeans seem more inclined to support restrictions on racist speech.</w:t>
      </w:r>
      <w:r w:rsidRPr="000C11FE">
        <w:rPr>
          <w:rStyle w:val="apple-converted-space"/>
          <w:rFonts w:ascii="Times New Roman" w:hAnsi="Times New Roman"/>
          <w:color w:val="000000"/>
          <w:sz w:val="24"/>
          <w:szCs w:val="24"/>
          <w:shd w:val="clear" w:color="auto" w:fill="FFFFFF"/>
          <w:lang w:val="en-US"/>
        </w:rPr>
        <w:t> </w:t>
      </w:r>
      <w:r>
        <w:rPr>
          <w:rStyle w:val="apple-converted-space"/>
          <w:rFonts w:ascii="Times New Roman" w:hAnsi="Times New Roman"/>
          <w:color w:val="000000"/>
          <w:sz w:val="24"/>
          <w:szCs w:val="24"/>
          <w:shd w:val="clear" w:color="auto" w:fill="FFFFFF"/>
          <w:lang w:val="en-US"/>
        </w:rPr>
        <w:t xml:space="preserve">Overcoming the challenge of this cultural gap, it remains stimulating to examine how downloading and uploading processes have affected the shaping of the US anti-extremist framework. </w:t>
      </w:r>
    </w:p>
    <w:p w:rsidR="00ED7740" w:rsidRDefault="00ED7740" w:rsidP="00740A9D">
      <w:pPr>
        <w:spacing w:line="360" w:lineRule="auto"/>
        <w:jc w:val="both"/>
        <w:rPr>
          <w:lang w:val="en-US"/>
        </w:rPr>
      </w:pPr>
    </w:p>
    <w:p w:rsidR="00ED7740" w:rsidRDefault="00ED7740" w:rsidP="00740A9D">
      <w:pPr>
        <w:spacing w:line="360" w:lineRule="auto"/>
        <w:jc w:val="both"/>
        <w:rPr>
          <w:rFonts w:ascii="Times New Roman" w:hAnsi="Times New Roman"/>
          <w:b/>
          <w:sz w:val="28"/>
          <w:szCs w:val="28"/>
          <w:lang w:val="en-US"/>
        </w:rPr>
      </w:pPr>
    </w:p>
    <w:p w:rsidR="00ED7740" w:rsidRDefault="00ED7740" w:rsidP="00740A9D">
      <w:pPr>
        <w:spacing w:line="360" w:lineRule="auto"/>
        <w:jc w:val="both"/>
        <w:rPr>
          <w:rFonts w:ascii="Times New Roman" w:hAnsi="Times New Roman"/>
          <w:b/>
          <w:sz w:val="28"/>
          <w:szCs w:val="28"/>
          <w:lang w:val="en-US"/>
        </w:rPr>
      </w:pPr>
    </w:p>
    <w:p w:rsidR="00ED7740" w:rsidRDefault="00ED7740" w:rsidP="00740A9D">
      <w:pPr>
        <w:spacing w:line="360" w:lineRule="auto"/>
        <w:jc w:val="both"/>
        <w:rPr>
          <w:rFonts w:ascii="Times New Roman" w:hAnsi="Times New Roman"/>
          <w:b/>
          <w:sz w:val="28"/>
          <w:szCs w:val="28"/>
          <w:lang w:val="en-US"/>
        </w:rPr>
      </w:pPr>
    </w:p>
    <w:p w:rsidR="00ED7740" w:rsidRDefault="00ED7740" w:rsidP="00740A9D">
      <w:pPr>
        <w:spacing w:line="360" w:lineRule="auto"/>
        <w:jc w:val="both"/>
        <w:rPr>
          <w:rFonts w:ascii="Times New Roman" w:hAnsi="Times New Roman"/>
          <w:b/>
          <w:sz w:val="28"/>
          <w:szCs w:val="28"/>
          <w:lang w:val="en-US"/>
        </w:rPr>
      </w:pPr>
    </w:p>
    <w:p w:rsidR="00ED7740" w:rsidRDefault="00ED7740" w:rsidP="00740A9D">
      <w:pPr>
        <w:spacing w:line="360" w:lineRule="auto"/>
        <w:jc w:val="both"/>
        <w:rPr>
          <w:rFonts w:ascii="Times New Roman" w:hAnsi="Times New Roman"/>
          <w:b/>
          <w:sz w:val="28"/>
          <w:szCs w:val="28"/>
          <w:lang w:val="en-US"/>
        </w:rPr>
      </w:pPr>
    </w:p>
    <w:p w:rsidR="00ED7740" w:rsidRDefault="00ED7740" w:rsidP="00740A9D">
      <w:pPr>
        <w:spacing w:line="360" w:lineRule="auto"/>
        <w:jc w:val="both"/>
        <w:rPr>
          <w:rFonts w:ascii="Times New Roman" w:hAnsi="Times New Roman"/>
          <w:b/>
          <w:sz w:val="28"/>
          <w:szCs w:val="28"/>
          <w:lang w:val="en-US"/>
        </w:rPr>
      </w:pPr>
    </w:p>
    <w:p w:rsidR="00ED7740" w:rsidRPr="00807543" w:rsidRDefault="00ED7740" w:rsidP="00740A9D">
      <w:pPr>
        <w:spacing w:line="360" w:lineRule="auto"/>
        <w:jc w:val="both"/>
        <w:rPr>
          <w:rFonts w:ascii="Times New Roman" w:hAnsi="Times New Roman"/>
          <w:b/>
          <w:sz w:val="28"/>
          <w:szCs w:val="28"/>
          <w:lang w:val="en-US"/>
        </w:rPr>
      </w:pPr>
      <w:r w:rsidRPr="00807543">
        <w:rPr>
          <w:rFonts w:ascii="Times New Roman" w:hAnsi="Times New Roman"/>
          <w:b/>
          <w:sz w:val="28"/>
          <w:szCs w:val="28"/>
          <w:lang w:val="en-US"/>
        </w:rPr>
        <w:t xml:space="preserve">Bibliography </w:t>
      </w:r>
    </w:p>
    <w:p w:rsidR="00ED7740" w:rsidRDefault="00ED7740" w:rsidP="00740A9D">
      <w:pPr>
        <w:spacing w:line="360" w:lineRule="auto"/>
        <w:jc w:val="both"/>
        <w:rPr>
          <w:rFonts w:ascii="Times New Roman" w:hAnsi="Times New Roman"/>
          <w:b/>
          <w:sz w:val="24"/>
          <w:szCs w:val="24"/>
          <w:lang w:val="en-US"/>
        </w:rPr>
      </w:pPr>
      <w:r>
        <w:rPr>
          <w:rFonts w:ascii="Times New Roman" w:hAnsi="Times New Roman"/>
          <w:lang w:val="en-US"/>
        </w:rPr>
        <w:t xml:space="preserve">Abts Koen and </w:t>
      </w:r>
      <w:r w:rsidRPr="00E92F14">
        <w:rPr>
          <w:rFonts w:ascii="Times New Roman" w:hAnsi="Times New Roman"/>
          <w:sz w:val="24"/>
          <w:szCs w:val="24"/>
          <w:lang w:val="en-US"/>
        </w:rPr>
        <w:t>Rummens, Stefan</w:t>
      </w:r>
      <w:r>
        <w:rPr>
          <w:rFonts w:ascii="Times New Roman" w:hAnsi="Times New Roman"/>
          <w:lang w:val="en-US"/>
        </w:rPr>
        <w:t>, Defending democracy</w:t>
      </w:r>
      <w:r w:rsidRPr="00E76886">
        <w:rPr>
          <w:rFonts w:ascii="Times New Roman" w:hAnsi="Times New Roman"/>
          <w:lang w:val="en-US"/>
        </w:rPr>
        <w:t>: The concentric containment of political extremism, Political Studies, 2010, vol. 58, pp. 649-665.</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Abts, Koen</w:t>
      </w:r>
      <w:r>
        <w:rPr>
          <w:rFonts w:ascii="Times New Roman" w:hAnsi="Times New Roman"/>
          <w:sz w:val="24"/>
          <w:szCs w:val="24"/>
          <w:lang w:val="en-US"/>
        </w:rPr>
        <w:t xml:space="preserve"> </w:t>
      </w:r>
      <w:r w:rsidRPr="00E92F14">
        <w:rPr>
          <w:rFonts w:ascii="Times New Roman" w:hAnsi="Times New Roman"/>
          <w:sz w:val="24"/>
          <w:szCs w:val="24"/>
          <w:lang w:val="en-US"/>
        </w:rPr>
        <w:t>and Rummens, Stefan, ‘Populism versus Democracy’, Political Studies, 2007, vol. 55 (2), 405–24.</w:t>
      </w:r>
    </w:p>
    <w:p w:rsidR="00ED7740" w:rsidRPr="00E92F14" w:rsidRDefault="00ED7740" w:rsidP="00740A9D">
      <w:pPr>
        <w:jc w:val="both"/>
        <w:rPr>
          <w:rFonts w:ascii="Times New Roman" w:hAnsi="Times New Roman"/>
          <w:sz w:val="24"/>
          <w:szCs w:val="24"/>
          <w:lang w:val="en-US"/>
        </w:rPr>
      </w:pPr>
      <w:r>
        <w:rPr>
          <w:rFonts w:ascii="Times New Roman" w:hAnsi="Times New Roman"/>
          <w:sz w:val="24"/>
          <w:szCs w:val="24"/>
          <w:lang w:val="en-US"/>
        </w:rPr>
        <w:t>Almeida, Dimitri, ‘</w:t>
      </w:r>
      <w:r w:rsidRPr="00E92F14">
        <w:rPr>
          <w:rFonts w:ascii="Times New Roman" w:hAnsi="Times New Roman"/>
          <w:sz w:val="24"/>
          <w:szCs w:val="24"/>
          <w:lang w:val="en-US"/>
        </w:rPr>
        <w:t>Europeanized Eurosceptics? Radical Right Pa</w:t>
      </w:r>
      <w:r>
        <w:rPr>
          <w:rFonts w:ascii="Times New Roman" w:hAnsi="Times New Roman"/>
          <w:sz w:val="24"/>
          <w:szCs w:val="24"/>
          <w:lang w:val="en-US"/>
        </w:rPr>
        <w:t>rties and European Integration’</w:t>
      </w:r>
      <w:r w:rsidRPr="00E92F14">
        <w:rPr>
          <w:rFonts w:ascii="Times New Roman" w:hAnsi="Times New Roman"/>
          <w:sz w:val="24"/>
          <w:szCs w:val="24"/>
          <w:lang w:val="en-US"/>
        </w:rPr>
        <w:t xml:space="preserve">, Perspectives on European Politics and Society, 2010 vol. 11, no° 3, pp. 237-253. </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 xml:space="preserve">Art, David, Inside the Radical Right: The development of Anti Immigrant Parties in Western Europe, 2011, Cambridge, Cambridge University Press. </w:t>
      </w:r>
    </w:p>
    <w:p w:rsidR="00ED7740"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 xml:space="preserve"> Art, David,</w:t>
      </w:r>
      <w:r>
        <w:rPr>
          <w:rFonts w:ascii="Times New Roman" w:hAnsi="Times New Roman"/>
          <w:sz w:val="24"/>
          <w:szCs w:val="24"/>
          <w:lang w:val="en-US"/>
        </w:rPr>
        <w:t xml:space="preserve"> </w:t>
      </w:r>
      <w:r w:rsidRPr="00E92F14">
        <w:rPr>
          <w:rFonts w:ascii="Times New Roman" w:hAnsi="Times New Roman"/>
          <w:sz w:val="24"/>
          <w:szCs w:val="24"/>
          <w:lang w:val="en-US"/>
        </w:rPr>
        <w:t xml:space="preserve">‘The European Radical Right in Comparative-Historical Perspective’, 2006, </w:t>
      </w:r>
      <w:hyperlink r:id="rId6" w:history="1">
        <w:r w:rsidRPr="005E0DA6">
          <w:rPr>
            <w:rStyle w:val="Hyperlink"/>
            <w:rFonts w:ascii="Times New Roman" w:hAnsi="Times New Roman"/>
            <w:sz w:val="24"/>
            <w:szCs w:val="24"/>
            <w:lang w:val="en-US"/>
          </w:rPr>
          <w:t>http://ase.tufts.edu/polsci/faculty/art/europeanRadicalRight.pdf</w:t>
        </w:r>
      </w:hyperlink>
      <w:r>
        <w:rPr>
          <w:rFonts w:ascii="Times New Roman" w:hAnsi="Times New Roman"/>
          <w:sz w:val="24"/>
          <w:szCs w:val="24"/>
          <w:lang w:val="en-US"/>
        </w:rPr>
        <w:t>.</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Art, David, ‘Reacting to the Radical Right: Lessons from Germany and Austria’, 2007, Party Politics, vol. 13 (3), 331–49.</w:t>
      </w:r>
    </w:p>
    <w:p w:rsidR="00ED7740"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Bale, Tim, ‘Are Bans on Political Parties Bound to Turn out Badly?’, Comparative European Politics, 2007, vol. 5 (2), 141–157.</w:t>
      </w:r>
    </w:p>
    <w:p w:rsidR="00ED7740" w:rsidRDefault="00ED7740" w:rsidP="00740A9D">
      <w:pPr>
        <w:jc w:val="both"/>
        <w:rPr>
          <w:rFonts w:ascii="Times New Roman" w:hAnsi="Times New Roman"/>
          <w:sz w:val="24"/>
          <w:szCs w:val="24"/>
          <w:lang w:val="en-US"/>
        </w:rPr>
      </w:pPr>
      <w:r>
        <w:rPr>
          <w:rFonts w:ascii="Times New Roman" w:hAnsi="Times New Roman"/>
          <w:sz w:val="24"/>
          <w:szCs w:val="24"/>
          <w:lang w:val="en-US"/>
        </w:rPr>
        <w:t>Bleich, Erik, ‘</w:t>
      </w:r>
      <w:r w:rsidRPr="00E478C4">
        <w:rPr>
          <w:rFonts w:ascii="Times New Roman" w:hAnsi="Times New Roman"/>
          <w:sz w:val="24"/>
          <w:szCs w:val="24"/>
          <w:lang w:val="en-US"/>
        </w:rPr>
        <w:t>The Freedom to Be Racist? How the United States and Europe Struggle to Preserve Freedom and Combat Racism</w:t>
      </w:r>
      <w:r>
        <w:rPr>
          <w:rFonts w:ascii="Times New Roman" w:hAnsi="Times New Roman"/>
          <w:sz w:val="24"/>
          <w:szCs w:val="24"/>
          <w:lang w:val="en-US"/>
        </w:rPr>
        <w:t xml:space="preserve">’, 2011, </w:t>
      </w:r>
      <w:r w:rsidRPr="00E478C4">
        <w:rPr>
          <w:rFonts w:ascii="Times New Roman" w:hAnsi="Times New Roman"/>
          <w:sz w:val="24"/>
          <w:szCs w:val="24"/>
          <w:lang w:val="en-US"/>
        </w:rPr>
        <w:t>New York:</w:t>
      </w:r>
      <w:r>
        <w:rPr>
          <w:rFonts w:ascii="Times New Roman" w:hAnsi="Times New Roman"/>
          <w:sz w:val="24"/>
          <w:szCs w:val="24"/>
          <w:lang w:val="en-US"/>
        </w:rPr>
        <w:t xml:space="preserve"> Oxford University Press. </w:t>
      </w:r>
    </w:p>
    <w:p w:rsidR="00ED7740" w:rsidRPr="00E92F14" w:rsidRDefault="00ED7740" w:rsidP="00740A9D">
      <w:pPr>
        <w:jc w:val="both"/>
        <w:rPr>
          <w:rFonts w:ascii="Times New Roman" w:hAnsi="Times New Roman"/>
          <w:sz w:val="24"/>
          <w:szCs w:val="24"/>
          <w:lang w:val="en-US"/>
        </w:rPr>
      </w:pPr>
      <w:r w:rsidRPr="00CC6E0F">
        <w:rPr>
          <w:rFonts w:ascii="Times New Roman" w:hAnsi="Times New Roman"/>
          <w:sz w:val="24"/>
          <w:szCs w:val="24"/>
          <w:lang w:val="en-US"/>
        </w:rPr>
        <w:t xml:space="preserve">Buhr, Renee, </w:t>
      </w:r>
      <w:r>
        <w:rPr>
          <w:rFonts w:ascii="Times New Roman" w:hAnsi="Times New Roman"/>
          <w:sz w:val="24"/>
          <w:szCs w:val="24"/>
          <w:lang w:val="en-US"/>
        </w:rPr>
        <w:t>‘</w:t>
      </w:r>
      <w:r w:rsidRPr="00CC6E0F">
        <w:rPr>
          <w:rFonts w:ascii="Times New Roman" w:hAnsi="Times New Roman"/>
          <w:sz w:val="24"/>
          <w:szCs w:val="24"/>
          <w:lang w:val="en-US"/>
        </w:rPr>
        <w:t xml:space="preserve">Supranationalism vs. The nation: Effects of European Union integration </w:t>
      </w:r>
      <w:r>
        <w:rPr>
          <w:rFonts w:ascii="Times New Roman" w:hAnsi="Times New Roman"/>
          <w:sz w:val="24"/>
          <w:szCs w:val="24"/>
          <w:lang w:val="en-US"/>
        </w:rPr>
        <w:t>on radical right party fortunes’</w:t>
      </w:r>
      <w:r w:rsidRPr="00CC6E0F">
        <w:rPr>
          <w:rFonts w:ascii="Times New Roman" w:hAnsi="Times New Roman"/>
          <w:sz w:val="24"/>
          <w:szCs w:val="24"/>
          <w:lang w:val="en-US"/>
        </w:rPr>
        <w:t xml:space="preserve">, </w:t>
      </w:r>
      <w:r>
        <w:rPr>
          <w:rFonts w:ascii="Times New Roman" w:hAnsi="Times New Roman"/>
          <w:sz w:val="24"/>
          <w:szCs w:val="24"/>
          <w:lang w:val="en-US"/>
        </w:rPr>
        <w:t xml:space="preserve">2008, </w:t>
      </w:r>
      <w:r w:rsidRPr="00CC6E0F">
        <w:rPr>
          <w:rFonts w:ascii="Times New Roman" w:hAnsi="Times New Roman"/>
          <w:sz w:val="24"/>
          <w:szCs w:val="24"/>
          <w:lang w:val="en-US"/>
        </w:rPr>
        <w:t>UMI dissertation publishing, University of Wi</w:t>
      </w:r>
      <w:r>
        <w:rPr>
          <w:rFonts w:ascii="Times New Roman" w:hAnsi="Times New Roman"/>
          <w:sz w:val="24"/>
          <w:szCs w:val="24"/>
          <w:lang w:val="en-US"/>
        </w:rPr>
        <w:t>sconsin-Madison</w:t>
      </w:r>
      <w:r w:rsidRPr="00CC6E0F">
        <w:rPr>
          <w:rFonts w:ascii="Times New Roman" w:hAnsi="Times New Roman"/>
          <w:sz w:val="24"/>
          <w:szCs w:val="24"/>
          <w:lang w:val="en-US"/>
        </w:rPr>
        <w:t xml:space="preserve">. </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Capoccia, Giovanni, ‘Defending Democracy: Reactions to Political Extremism in Inter-war Europe’, European Journal of Political Research, 2001, vol. 39 (4), 431–60.</w:t>
      </w:r>
    </w:p>
    <w:p w:rsidR="00ED7740"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Capoccia, Giovanni, ‘Defending Democracy: Reactions to Extremism in Interwar Europe. Baltimore MD: John Hopkins University Press’,</w:t>
      </w:r>
      <w:r>
        <w:rPr>
          <w:rFonts w:ascii="Times New Roman" w:hAnsi="Times New Roman"/>
          <w:sz w:val="24"/>
          <w:szCs w:val="24"/>
          <w:lang w:val="en-US"/>
        </w:rPr>
        <w:t xml:space="preserve"> </w:t>
      </w:r>
      <w:r w:rsidRPr="00E92F14">
        <w:rPr>
          <w:rFonts w:ascii="Times New Roman" w:hAnsi="Times New Roman"/>
          <w:sz w:val="24"/>
          <w:szCs w:val="24"/>
          <w:lang w:val="en-US"/>
        </w:rPr>
        <w:t>2007.</w:t>
      </w:r>
    </w:p>
    <w:p w:rsidR="00ED7740" w:rsidRPr="00E92F14" w:rsidRDefault="00ED7740" w:rsidP="00740A9D">
      <w:pPr>
        <w:jc w:val="both"/>
        <w:rPr>
          <w:rFonts w:ascii="Times New Roman" w:hAnsi="Times New Roman"/>
          <w:sz w:val="24"/>
          <w:szCs w:val="24"/>
          <w:lang w:val="en-US"/>
        </w:rPr>
      </w:pPr>
      <w:r>
        <w:rPr>
          <w:rFonts w:ascii="Times New Roman" w:hAnsi="Times New Roman"/>
          <w:sz w:val="24"/>
          <w:szCs w:val="24"/>
          <w:lang w:val="en-US"/>
        </w:rPr>
        <w:t>Cappocia, Giovanni, ‘</w:t>
      </w:r>
      <w:r w:rsidRPr="00E92F14">
        <w:rPr>
          <w:rFonts w:ascii="Times New Roman" w:hAnsi="Times New Roman"/>
          <w:sz w:val="24"/>
          <w:szCs w:val="24"/>
          <w:lang w:val="en-US"/>
        </w:rPr>
        <w:t>Militant Democracy, The institutional bases of democratic self – preservation</w:t>
      </w:r>
      <w:r>
        <w:rPr>
          <w:rFonts w:ascii="Times New Roman" w:hAnsi="Times New Roman"/>
          <w:sz w:val="24"/>
          <w:szCs w:val="24"/>
          <w:lang w:val="en-US"/>
        </w:rPr>
        <w:t>’</w:t>
      </w:r>
      <w:r w:rsidRPr="00E92F14">
        <w:rPr>
          <w:rFonts w:ascii="Times New Roman" w:hAnsi="Times New Roman"/>
          <w:sz w:val="24"/>
          <w:szCs w:val="24"/>
          <w:lang w:val="en-US"/>
        </w:rPr>
        <w:t xml:space="preserve">, </w:t>
      </w:r>
      <w:r>
        <w:rPr>
          <w:rFonts w:ascii="Times New Roman" w:hAnsi="Times New Roman"/>
          <w:sz w:val="24"/>
          <w:szCs w:val="24"/>
          <w:lang w:val="en-US"/>
        </w:rPr>
        <w:t>2013, Annu. Rev. Law. Soc. Sci</w:t>
      </w:r>
      <w:r w:rsidRPr="00E92F14">
        <w:rPr>
          <w:rFonts w:ascii="Times New Roman" w:hAnsi="Times New Roman"/>
          <w:sz w:val="24"/>
          <w:szCs w:val="24"/>
          <w:lang w:val="en-US"/>
        </w:rPr>
        <w:t xml:space="preserve">. </w:t>
      </w:r>
      <w:r>
        <w:rPr>
          <w:rFonts w:ascii="Times New Roman" w:hAnsi="Times New Roman"/>
          <w:sz w:val="24"/>
          <w:szCs w:val="24"/>
          <w:lang w:val="en-US"/>
        </w:rPr>
        <w:t>Vol. 9</w:t>
      </w:r>
      <w:r w:rsidRPr="00E92F14">
        <w:rPr>
          <w:rFonts w:ascii="Times New Roman" w:hAnsi="Times New Roman"/>
          <w:sz w:val="24"/>
          <w:szCs w:val="24"/>
          <w:lang w:val="en-US"/>
        </w:rPr>
        <w:t>: 207-26</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Cram, Ian, ‘Constitutional Responses to Extremist Political Associations – ETA,Batasuna and Democratic Norms’, Legal Studies, 2008, vol. 28 (1), 69–95.</w:t>
      </w:r>
    </w:p>
    <w:p w:rsidR="00ED7740" w:rsidRPr="00E92F14" w:rsidRDefault="00ED7740" w:rsidP="00740A9D">
      <w:pPr>
        <w:jc w:val="both"/>
        <w:rPr>
          <w:rFonts w:ascii="Times New Roman" w:hAnsi="Times New Roman"/>
          <w:sz w:val="24"/>
          <w:szCs w:val="24"/>
        </w:rPr>
      </w:pPr>
      <w:r w:rsidRPr="00E92F14">
        <w:rPr>
          <w:rFonts w:ascii="Times New Roman" w:hAnsi="Times New Roman"/>
          <w:sz w:val="24"/>
          <w:szCs w:val="24"/>
        </w:rPr>
        <w:t xml:space="preserve">Delwit, Pascal, Le Front National: Mutations de l’extrême droite française, 2012, Bruxelles, Éditions de l’Université de Bruxelles. </w:t>
      </w:r>
    </w:p>
    <w:p w:rsidR="00ED7740"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Eatwell, Roger</w:t>
      </w:r>
      <w:r>
        <w:rPr>
          <w:rFonts w:ascii="Times New Roman" w:hAnsi="Times New Roman"/>
          <w:sz w:val="24"/>
          <w:szCs w:val="24"/>
          <w:lang w:val="en-US"/>
        </w:rPr>
        <w:t xml:space="preserve"> </w:t>
      </w:r>
      <w:r w:rsidRPr="00E92F14">
        <w:rPr>
          <w:rFonts w:ascii="Times New Roman" w:hAnsi="Times New Roman"/>
          <w:sz w:val="24"/>
          <w:szCs w:val="24"/>
          <w:lang w:val="en-US"/>
        </w:rPr>
        <w:t>and Mudde, Cas. (eds), Democracy and the New Extreme Right Challenge, 2004, London: Routledge.</w:t>
      </w:r>
    </w:p>
    <w:p w:rsidR="00ED7740" w:rsidRPr="00E92F14" w:rsidRDefault="00ED7740" w:rsidP="00740A9D">
      <w:pPr>
        <w:jc w:val="both"/>
        <w:rPr>
          <w:rFonts w:ascii="Times New Roman" w:hAnsi="Times New Roman"/>
          <w:sz w:val="24"/>
          <w:szCs w:val="24"/>
          <w:lang w:val="en-US"/>
        </w:rPr>
      </w:pPr>
      <w:r w:rsidRPr="009F22BE">
        <w:rPr>
          <w:rFonts w:ascii="Times New Roman" w:hAnsi="Times New Roman"/>
          <w:sz w:val="24"/>
          <w:szCs w:val="24"/>
          <w:lang w:val="en-US"/>
        </w:rPr>
        <w:t>Euro barometer 69, ‘Values of Europeans’, Publication October 2008 assessed on http://ec.europa.eu/public_opinion/archives/eb/eb69/eb69_values_en.pdf</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Fennema, Meindert, ‘Legal Repression of Extreme-Right Parties and Racial Discrimination’, in R. Koopmans and P. Statham (eds</w:t>
      </w:r>
      <w:r>
        <w:rPr>
          <w:rFonts w:ascii="Times New Roman" w:hAnsi="Times New Roman"/>
          <w:sz w:val="24"/>
          <w:szCs w:val="24"/>
          <w:lang w:val="en-US"/>
        </w:rPr>
        <w:t>.</w:t>
      </w:r>
      <w:r w:rsidRPr="00E92F14">
        <w:rPr>
          <w:rFonts w:ascii="Times New Roman" w:hAnsi="Times New Roman"/>
          <w:sz w:val="24"/>
          <w:szCs w:val="24"/>
          <w:lang w:val="en-US"/>
        </w:rPr>
        <w:t>), Challenging Immigration and Ethnic Relations Politics, 2000, Oxford: Oxford University Press, pp. 119–44.</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Fennema, Meindert and Maussen,Marcel, ‘Dealing with Extremists in Public Discussion: Front National and “Republican Front’ in France’, 2000, Journal of Political Philosophy, vol. 8 (3), 379–400.</w:t>
      </w:r>
    </w:p>
    <w:p w:rsidR="00ED7740" w:rsidRPr="00106FE6" w:rsidRDefault="00ED7740" w:rsidP="00740A9D">
      <w:pPr>
        <w:jc w:val="both"/>
        <w:rPr>
          <w:rFonts w:ascii="Times New Roman" w:hAnsi="Times New Roman"/>
          <w:sz w:val="24"/>
          <w:szCs w:val="24"/>
          <w:lang w:val="en-US"/>
        </w:rPr>
      </w:pPr>
      <w:r w:rsidRPr="00106FE6">
        <w:rPr>
          <w:rFonts w:ascii="Times New Roman" w:hAnsi="Times New Roman"/>
          <w:sz w:val="24"/>
          <w:szCs w:val="24"/>
          <w:lang w:val="en-US"/>
        </w:rPr>
        <w:t>Fox, Gregory and Nolte, George, ‘Intolerant Democracies’, in G. Fox and B. Roth (eds.), Democratic Governance and International Law, 2000, Cambridge: Cambridge University Press, pp. 389–436.</w:t>
      </w:r>
    </w:p>
    <w:p w:rsidR="00ED7740" w:rsidRPr="00EA6BC9" w:rsidRDefault="00ED7740" w:rsidP="00740A9D">
      <w:pPr>
        <w:rPr>
          <w:lang w:val="en-US"/>
        </w:rPr>
      </w:pPr>
      <w:r w:rsidRPr="00106FE6">
        <w:rPr>
          <w:rFonts w:ascii="Times New Roman" w:hAnsi="Times New Roman"/>
          <w:sz w:val="24"/>
          <w:szCs w:val="24"/>
          <w:lang w:val="en-US"/>
        </w:rPr>
        <w:t>FRA Report 2012, The European Union as a Community of v</w:t>
      </w:r>
      <w:r>
        <w:rPr>
          <w:rFonts w:ascii="Times New Roman" w:hAnsi="Times New Roman"/>
          <w:sz w:val="24"/>
          <w:szCs w:val="24"/>
          <w:lang w:val="en-US"/>
        </w:rPr>
        <w:t xml:space="preserve">alues: safeguarding fundamental </w:t>
      </w:r>
      <w:r w:rsidRPr="00106FE6">
        <w:rPr>
          <w:rFonts w:ascii="Times New Roman" w:hAnsi="Times New Roman"/>
          <w:sz w:val="24"/>
          <w:szCs w:val="24"/>
          <w:lang w:val="en-US"/>
        </w:rPr>
        <w:t>rights in times of crisis, consulted on</w:t>
      </w:r>
      <w:r>
        <w:rPr>
          <w:rFonts w:ascii="Times New Roman" w:hAnsi="Times New Roman"/>
          <w:sz w:val="24"/>
          <w:szCs w:val="24"/>
          <w:lang w:val="en-US"/>
        </w:rPr>
        <w:t xml:space="preserve"> </w:t>
      </w:r>
      <w:hyperlink r:id="rId7" w:history="1">
        <w:r w:rsidRPr="00106FE6">
          <w:rPr>
            <w:rStyle w:val="Hyperlink"/>
            <w:rFonts w:ascii="Times New Roman" w:hAnsi="Times New Roman"/>
            <w:sz w:val="24"/>
            <w:szCs w:val="24"/>
            <w:lang w:val="en-US"/>
          </w:rPr>
          <w:t>http://fra.europa.eu/sites/default/files/annual-report-2012-focus_en.pdf</w:t>
        </w:r>
      </w:hyperlink>
    </w:p>
    <w:p w:rsidR="00ED7740" w:rsidRPr="008B17A6" w:rsidRDefault="00ED7740" w:rsidP="00740A9D">
      <w:pPr>
        <w:rPr>
          <w:rFonts w:ascii="Times New Roman" w:hAnsi="Times New Roman"/>
          <w:sz w:val="24"/>
          <w:szCs w:val="24"/>
          <w:lang w:val="en-US"/>
        </w:rPr>
      </w:pPr>
      <w:r>
        <w:rPr>
          <w:lang w:val="en-US"/>
        </w:rPr>
        <w:t xml:space="preserve"> </w:t>
      </w:r>
      <w:r w:rsidRPr="008B17A6">
        <w:rPr>
          <w:rFonts w:ascii="Times New Roman" w:hAnsi="Times New Roman"/>
          <w:sz w:val="24"/>
          <w:szCs w:val="24"/>
          <w:lang w:val="en-US"/>
        </w:rPr>
        <w:t>FRA Report 2013, ‘Racism, discrimination, intolerance and extremism: Learning from experiences in Greece and Hungary’ assessed on http://fra.europa.eu/sites/default/files/fra-2013-thematic-situation-report-3_en_1.pdf</w:t>
      </w:r>
    </w:p>
    <w:p w:rsidR="00ED7740" w:rsidRPr="00B212BF" w:rsidRDefault="00ED7740" w:rsidP="00740A9D">
      <w:pPr>
        <w:rPr>
          <w:rFonts w:ascii="Times New Roman" w:hAnsi="Times New Roman"/>
          <w:sz w:val="24"/>
          <w:szCs w:val="24"/>
          <w:lang w:val="en-US"/>
        </w:rPr>
      </w:pPr>
      <w:r w:rsidRPr="00B212BF">
        <w:rPr>
          <w:rFonts w:ascii="Times New Roman" w:hAnsi="Times New Roman"/>
          <w:sz w:val="24"/>
          <w:szCs w:val="24"/>
          <w:lang w:val="en-US"/>
        </w:rPr>
        <w:t>Hall,</w:t>
      </w:r>
      <w:r>
        <w:rPr>
          <w:rFonts w:ascii="Times New Roman" w:hAnsi="Times New Roman"/>
          <w:sz w:val="24"/>
          <w:szCs w:val="24"/>
          <w:lang w:val="en-US"/>
        </w:rPr>
        <w:t xml:space="preserve"> Peter, </w:t>
      </w:r>
      <w:r w:rsidRPr="00B212BF">
        <w:rPr>
          <w:rFonts w:ascii="Times New Roman" w:hAnsi="Times New Roman"/>
          <w:sz w:val="24"/>
          <w:szCs w:val="24"/>
          <w:lang w:val="en-US"/>
        </w:rPr>
        <w:t>‘Aligning Ontology and Methodo</w:t>
      </w:r>
      <w:r>
        <w:rPr>
          <w:rFonts w:ascii="Times New Roman" w:hAnsi="Times New Roman"/>
          <w:sz w:val="24"/>
          <w:szCs w:val="24"/>
          <w:lang w:val="en-US"/>
        </w:rPr>
        <w:t>logy in Comparative Research’, 2003</w:t>
      </w:r>
      <w:r w:rsidRPr="00B212BF">
        <w:rPr>
          <w:rFonts w:ascii="Times New Roman" w:hAnsi="Times New Roman"/>
          <w:sz w:val="24"/>
          <w:szCs w:val="24"/>
          <w:lang w:val="en-US"/>
        </w:rPr>
        <w:t>, In: Mahoney J, Rueschemeyer D Comparative Historical Analysis in the Social Sciences, Cambridge, UK and New York: Cambridge University Press; Ch. 11.</w:t>
      </w:r>
    </w:p>
    <w:p w:rsidR="00ED7740" w:rsidRDefault="00ED7740" w:rsidP="00740A9D">
      <w:pPr>
        <w:rPr>
          <w:rFonts w:ascii="Times New Roman" w:hAnsi="Times New Roman"/>
          <w:sz w:val="24"/>
          <w:szCs w:val="24"/>
          <w:lang w:val="en-US"/>
        </w:rPr>
      </w:pPr>
      <w:r w:rsidRPr="00051124">
        <w:rPr>
          <w:rFonts w:ascii="Times New Roman" w:hAnsi="Times New Roman"/>
          <w:sz w:val="24"/>
          <w:szCs w:val="24"/>
          <w:lang w:val="en-US"/>
        </w:rPr>
        <w:t xml:space="preserve">Human Right Watch, ‘Hungary: Constitutional Change Falls Short - Europe Should Act on its Rule of Law Concerns’, Press Release, 18 September 2013 consulted on </w:t>
      </w:r>
      <w:hyperlink r:id="rId8" w:history="1">
        <w:r w:rsidRPr="00175E72">
          <w:rPr>
            <w:rStyle w:val="Hyperlink"/>
            <w:rFonts w:ascii="Times New Roman" w:hAnsi="Times New Roman"/>
            <w:sz w:val="24"/>
            <w:szCs w:val="24"/>
            <w:lang w:val="en-US"/>
          </w:rPr>
          <w:t>http://www.hrw.org/news/2013/09/18/hungary-constitutional-change-falls-short</w:t>
        </w:r>
      </w:hyperlink>
    </w:p>
    <w:p w:rsidR="00ED7740"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Minkenberg, Michael, ‘Repression and Reaction: Militant Democracy and the Radical Right in Germany and France’, 2006, Patterns of Prejudice, 40 (1), 25–44.</w:t>
      </w:r>
    </w:p>
    <w:p w:rsidR="00ED7740" w:rsidRPr="00E478C4" w:rsidRDefault="00ED7740" w:rsidP="00740A9D">
      <w:pPr>
        <w:jc w:val="both"/>
        <w:rPr>
          <w:lang w:val="en-US"/>
        </w:rPr>
      </w:pPr>
      <w:r w:rsidRPr="005C16A6">
        <w:rPr>
          <w:rFonts w:ascii="Times New Roman" w:hAnsi="Times New Roman"/>
          <w:lang w:val="en-US"/>
        </w:rPr>
        <w:t xml:space="preserve">Kean, </w:t>
      </w:r>
      <w:r>
        <w:rPr>
          <w:rFonts w:ascii="Times New Roman" w:hAnsi="Times New Roman"/>
          <w:lang w:val="en-US"/>
        </w:rPr>
        <w:t>John, ‘</w:t>
      </w:r>
      <w:r w:rsidRPr="005C16A6">
        <w:rPr>
          <w:rFonts w:ascii="Times New Roman" w:hAnsi="Times New Roman"/>
          <w:lang w:val="en-US"/>
        </w:rPr>
        <w:t>A murder in Europe, The conversation, 20 September 2013</w:t>
      </w:r>
      <w:r>
        <w:rPr>
          <w:rFonts w:ascii="Times New Roman" w:hAnsi="Times New Roman"/>
          <w:lang w:val="en-US"/>
        </w:rPr>
        <w:t>’</w:t>
      </w:r>
      <w:r w:rsidRPr="005C16A6">
        <w:rPr>
          <w:rFonts w:ascii="Times New Roman" w:hAnsi="Times New Roman"/>
          <w:lang w:val="en-US"/>
        </w:rPr>
        <w:t xml:space="preserve">, consulted on </w:t>
      </w:r>
      <w:hyperlink r:id="rId9" w:history="1">
        <w:r w:rsidRPr="005C16A6">
          <w:rPr>
            <w:rStyle w:val="Hyperlink"/>
            <w:rFonts w:ascii="Times New Roman" w:hAnsi="Times New Roman"/>
            <w:lang w:val="en-US"/>
          </w:rPr>
          <w:t>http://theconversation.com/a-murder-in-europe-18494</w:t>
        </w:r>
      </w:hyperlink>
    </w:p>
    <w:p w:rsidR="00ED7740" w:rsidRPr="00CC6E0F" w:rsidRDefault="00ED7740" w:rsidP="00740A9D">
      <w:pPr>
        <w:jc w:val="both"/>
        <w:rPr>
          <w:rFonts w:ascii="Times New Roman" w:hAnsi="Times New Roman"/>
          <w:sz w:val="24"/>
          <w:szCs w:val="24"/>
          <w:lang w:val="en-US"/>
        </w:rPr>
      </w:pPr>
      <w:r w:rsidRPr="00CC6E0F">
        <w:rPr>
          <w:rFonts w:ascii="Times New Roman" w:hAnsi="Times New Roman"/>
          <w:sz w:val="24"/>
          <w:szCs w:val="24"/>
          <w:lang w:val="en-US"/>
        </w:rPr>
        <w:t>Kirchheimer, Otto, Political Justice: The use of legal procedures for political ends, Princeton, NJ : Princeton University Press, 1961.</w:t>
      </w:r>
    </w:p>
    <w:p w:rsidR="00ED7740" w:rsidRPr="00E92F14" w:rsidRDefault="00ED7740" w:rsidP="00740A9D">
      <w:pPr>
        <w:jc w:val="both"/>
        <w:rPr>
          <w:rFonts w:ascii="Times New Roman" w:hAnsi="Times New Roman"/>
          <w:sz w:val="24"/>
          <w:szCs w:val="24"/>
          <w:lang w:val="en-US"/>
        </w:rPr>
      </w:pPr>
      <w:r w:rsidRPr="00825303">
        <w:rPr>
          <w:rFonts w:ascii="Times New Roman" w:hAnsi="Times New Roman"/>
          <w:lang w:val="en-US"/>
        </w:rPr>
        <w:t xml:space="preserve">Klamt, </w:t>
      </w:r>
      <w:r>
        <w:rPr>
          <w:rFonts w:ascii="Times New Roman" w:hAnsi="Times New Roman"/>
          <w:lang w:val="en-US"/>
        </w:rPr>
        <w:t xml:space="preserve">Martin, </w:t>
      </w:r>
      <w:r w:rsidRPr="00825303">
        <w:rPr>
          <w:rFonts w:ascii="Times New Roman" w:hAnsi="Times New Roman"/>
          <w:lang w:val="en-US"/>
        </w:rPr>
        <w:t>Militant democracy and the democratic dilemma: different ways of protecting democratic constitutions, In Explorations in legal cultures</w:t>
      </w:r>
      <w:r>
        <w:rPr>
          <w:rFonts w:ascii="Times New Roman" w:hAnsi="Times New Roman"/>
          <w:lang w:val="en-US"/>
        </w:rPr>
        <w:t xml:space="preserve">, ed. F. Bruinsma, D Nelken, 2007, pp. 133-59. The </w:t>
      </w:r>
      <w:r w:rsidRPr="001E299A">
        <w:rPr>
          <w:rFonts w:ascii="Times New Roman" w:hAnsi="Times New Roman"/>
          <w:lang w:val="en-US"/>
        </w:rPr>
        <w:t>Hague, Neth.: Elsevier</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Ladrech, Robert, ‘Europeanization of Domestic Politics and Institutions: The Case of France’, 1994, Journal of Common Market Studies, vol. 32, n° 1, 1994, pp. 69-88.</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 xml:space="preserve">Ladrech, Robert, ‘Europeanization and political parties: Towards a framework for analysis », Party Politics’, vol. 8, n° 4, 2002, pp. 389-403.   </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 xml:space="preserve">Ladrech, Robert, ‘Europeanization and political parties’, Living Reviews in European Governance, vol. 4, n° 1, 2009, pp. 8-22.  </w:t>
      </w:r>
    </w:p>
    <w:p w:rsidR="00ED7740" w:rsidRPr="00E92F14" w:rsidRDefault="00ED7740" w:rsidP="00740A9D">
      <w:pPr>
        <w:jc w:val="both"/>
        <w:rPr>
          <w:rFonts w:ascii="Times New Roman" w:hAnsi="Times New Roman"/>
          <w:sz w:val="24"/>
          <w:szCs w:val="24"/>
          <w:lang w:val="en-US"/>
        </w:rPr>
      </w:pPr>
      <w:r>
        <w:rPr>
          <w:rFonts w:ascii="Times New Roman" w:hAnsi="Times New Roman"/>
          <w:sz w:val="24"/>
          <w:szCs w:val="24"/>
          <w:lang w:val="en-US"/>
        </w:rPr>
        <w:t xml:space="preserve">Loewenstein, </w:t>
      </w:r>
      <w:r w:rsidRPr="00E92F14">
        <w:rPr>
          <w:rFonts w:ascii="Times New Roman" w:hAnsi="Times New Roman"/>
          <w:sz w:val="24"/>
          <w:szCs w:val="24"/>
          <w:lang w:val="en-US"/>
        </w:rPr>
        <w:t>Karl, ‘Militant Democracy and Fundamental Rights, I and II’, 1937, American Political Science Review, vol. 31 (3), 417–32, vol. 31 (4), 638–58.</w:t>
      </w:r>
    </w:p>
    <w:p w:rsidR="00ED7740" w:rsidRPr="00E478C4" w:rsidRDefault="00ED7740" w:rsidP="00740A9D">
      <w:pPr>
        <w:jc w:val="both"/>
        <w:rPr>
          <w:rFonts w:ascii="Times New Roman" w:hAnsi="Times New Roman"/>
          <w:sz w:val="24"/>
          <w:szCs w:val="24"/>
        </w:rPr>
      </w:pPr>
      <w:r w:rsidRPr="00E92F14">
        <w:rPr>
          <w:rFonts w:ascii="Times New Roman" w:hAnsi="Times New Roman"/>
          <w:sz w:val="24"/>
          <w:szCs w:val="24"/>
          <w:lang w:val="en-US"/>
        </w:rPr>
        <w:t>Mudde, Cas (eds</w:t>
      </w:r>
      <w:r>
        <w:rPr>
          <w:rFonts w:ascii="Times New Roman" w:hAnsi="Times New Roman"/>
          <w:sz w:val="24"/>
          <w:szCs w:val="24"/>
          <w:lang w:val="en-US"/>
        </w:rPr>
        <w:t>.</w:t>
      </w:r>
      <w:r w:rsidRPr="00E92F14">
        <w:rPr>
          <w:rFonts w:ascii="Times New Roman" w:hAnsi="Times New Roman"/>
          <w:sz w:val="24"/>
          <w:szCs w:val="24"/>
          <w:lang w:val="en-US"/>
        </w:rPr>
        <w:t xml:space="preserve">), Democracy and the New Extreme Right Challenge. </w:t>
      </w:r>
      <w:r w:rsidRPr="00E478C4">
        <w:rPr>
          <w:rFonts w:ascii="Times New Roman" w:hAnsi="Times New Roman"/>
          <w:sz w:val="24"/>
          <w:szCs w:val="24"/>
        </w:rPr>
        <w:t>London: Routledge, pp. 133–49.</w:t>
      </w:r>
    </w:p>
    <w:p w:rsidR="00ED7740" w:rsidRPr="00E92F14" w:rsidRDefault="00ED7740" w:rsidP="00740A9D">
      <w:pPr>
        <w:jc w:val="both"/>
        <w:rPr>
          <w:rFonts w:ascii="Times New Roman" w:hAnsi="Times New Roman"/>
          <w:sz w:val="24"/>
          <w:szCs w:val="24"/>
        </w:rPr>
      </w:pPr>
      <w:r w:rsidRPr="00E92F14">
        <w:rPr>
          <w:rFonts w:ascii="Times New Roman" w:hAnsi="Times New Roman"/>
          <w:sz w:val="24"/>
          <w:szCs w:val="24"/>
        </w:rPr>
        <w:t xml:space="preserve">Perrineau, Pascal,  Le choix de Marianne : Pourquoi, pour qui votons nous ?, Fayard, Paris, 2012. </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Parsons, Craig, « Puzzling out the EU role in national politics », Journal of European Public Policy, vol.14, n° 7, 2007, pp. 1135-1149.</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Pedahzur, Ami, ‘The Israeli Response to Jewish Extremism and Violence: Defending Democracy’, 2003, Manchester: Manchester University Press.</w:t>
      </w:r>
    </w:p>
    <w:p w:rsidR="00ED7740" w:rsidRPr="00E92F14" w:rsidRDefault="00ED7740" w:rsidP="00740A9D">
      <w:pPr>
        <w:jc w:val="both"/>
        <w:rPr>
          <w:rFonts w:ascii="Times New Roman" w:hAnsi="Times New Roman"/>
          <w:sz w:val="24"/>
          <w:szCs w:val="24"/>
          <w:lang w:val="en-US"/>
        </w:rPr>
      </w:pPr>
      <w:r>
        <w:rPr>
          <w:rFonts w:ascii="Times New Roman" w:hAnsi="Times New Roman"/>
          <w:sz w:val="24"/>
          <w:szCs w:val="24"/>
          <w:lang w:val="en-US"/>
        </w:rPr>
        <w:t>Pedahzur, Ami</w:t>
      </w:r>
      <w:r w:rsidRPr="00E92F14">
        <w:rPr>
          <w:rFonts w:ascii="Times New Roman" w:hAnsi="Times New Roman"/>
          <w:sz w:val="24"/>
          <w:szCs w:val="24"/>
          <w:lang w:val="en-US"/>
        </w:rPr>
        <w:t xml:space="preserve">, ‘The Defending Democracy and the Extreme Right: A Comparative Analysis’, </w:t>
      </w:r>
      <w:r>
        <w:rPr>
          <w:rFonts w:ascii="Times New Roman" w:hAnsi="Times New Roman"/>
          <w:sz w:val="24"/>
          <w:szCs w:val="24"/>
          <w:lang w:val="en-US"/>
        </w:rPr>
        <w:t xml:space="preserve">2004, </w:t>
      </w:r>
      <w:r w:rsidRPr="00E92F14">
        <w:rPr>
          <w:rFonts w:ascii="Times New Roman" w:hAnsi="Times New Roman"/>
          <w:sz w:val="24"/>
          <w:szCs w:val="24"/>
          <w:lang w:val="en-US"/>
        </w:rPr>
        <w:t>in R. Eatwell and C.</w:t>
      </w:r>
    </w:p>
    <w:p w:rsidR="00ED7740" w:rsidRPr="00E92F14" w:rsidRDefault="00ED7740" w:rsidP="00740A9D">
      <w:pPr>
        <w:jc w:val="both"/>
        <w:rPr>
          <w:rFonts w:ascii="Times New Roman" w:hAnsi="Times New Roman"/>
          <w:sz w:val="24"/>
          <w:szCs w:val="24"/>
        </w:rPr>
      </w:pPr>
      <w:r w:rsidRPr="00E92F14">
        <w:rPr>
          <w:rFonts w:ascii="Times New Roman" w:hAnsi="Times New Roman"/>
          <w:sz w:val="24"/>
          <w:szCs w:val="24"/>
        </w:rPr>
        <w:t xml:space="preserve">Psarras, Dimitris, La main cachée de Karatzaferis : la renaissance télévisuelle de l’extrême droite grecque, Athènes, Alexandreia, 2010. </w:t>
      </w:r>
    </w:p>
    <w:p w:rsidR="00ED7740" w:rsidRPr="00E92F14" w:rsidRDefault="00ED7740" w:rsidP="00740A9D">
      <w:pPr>
        <w:jc w:val="both"/>
        <w:rPr>
          <w:rFonts w:ascii="Times New Roman" w:hAnsi="Times New Roman"/>
          <w:sz w:val="24"/>
          <w:szCs w:val="24"/>
          <w:lang w:val="en-US"/>
        </w:rPr>
      </w:pPr>
      <w:r w:rsidRPr="00E92F14">
        <w:rPr>
          <w:rFonts w:ascii="Times New Roman" w:hAnsi="Times New Roman"/>
          <w:sz w:val="24"/>
          <w:szCs w:val="24"/>
          <w:lang w:val="en-US"/>
        </w:rPr>
        <w:t xml:space="preserve">Psarras, Dimitris, The black bible of the Golden Dawn Party, Athens, Alexandreia, 2012. </w:t>
      </w:r>
    </w:p>
    <w:p w:rsidR="00ED7740" w:rsidRPr="00E92F14" w:rsidRDefault="00ED7740" w:rsidP="00740A9D">
      <w:pPr>
        <w:jc w:val="both"/>
        <w:rPr>
          <w:rFonts w:ascii="Times New Roman" w:hAnsi="Times New Roman"/>
          <w:sz w:val="24"/>
          <w:szCs w:val="24"/>
        </w:rPr>
      </w:pPr>
      <w:r w:rsidRPr="00E92F14">
        <w:rPr>
          <w:rFonts w:ascii="Times New Roman" w:hAnsi="Times New Roman"/>
          <w:sz w:val="24"/>
          <w:szCs w:val="24"/>
          <w:lang w:val="en-US"/>
        </w:rPr>
        <w:t xml:space="preserve">Rozenberg, Olivier, ‘Monnet for nothing? </w:t>
      </w:r>
      <w:r>
        <w:rPr>
          <w:rFonts w:ascii="Times New Roman" w:hAnsi="Times New Roman"/>
          <w:sz w:val="24"/>
          <w:szCs w:val="24"/>
        </w:rPr>
        <w:t>France’s</w:t>
      </w:r>
      <w:r w:rsidRPr="00E92F14">
        <w:rPr>
          <w:rFonts w:ascii="Times New Roman" w:hAnsi="Times New Roman"/>
          <w:sz w:val="24"/>
          <w:szCs w:val="24"/>
        </w:rPr>
        <w:t xml:space="preserve"> mixed Europeanization’, Les cahiers européens de Sciences Po, n° 4, 2011, pp. 1-32.  </w:t>
      </w:r>
    </w:p>
    <w:p w:rsidR="00ED7740" w:rsidRPr="00CC6E0F" w:rsidRDefault="00ED7740" w:rsidP="00740A9D">
      <w:pPr>
        <w:spacing w:line="360" w:lineRule="auto"/>
        <w:jc w:val="both"/>
        <w:rPr>
          <w:rFonts w:ascii="Times New Roman" w:hAnsi="Times New Roman"/>
          <w:b/>
          <w:sz w:val="24"/>
          <w:szCs w:val="24"/>
          <w:lang w:val="en-US"/>
        </w:rPr>
      </w:pPr>
      <w:r w:rsidRPr="00CC6E0F">
        <w:rPr>
          <w:rFonts w:ascii="Times New Roman" w:hAnsi="Times New Roman"/>
          <w:sz w:val="24"/>
          <w:szCs w:val="24"/>
          <w:lang w:val="en-US"/>
        </w:rPr>
        <w:t>Van Donselaar J</w:t>
      </w:r>
      <w:r>
        <w:rPr>
          <w:rFonts w:ascii="Times New Roman" w:hAnsi="Times New Roman"/>
          <w:sz w:val="24"/>
          <w:szCs w:val="24"/>
          <w:lang w:val="en-US"/>
        </w:rPr>
        <w:t>aap</w:t>
      </w:r>
      <w:r w:rsidRPr="00CC6E0F">
        <w:rPr>
          <w:rFonts w:ascii="Times New Roman" w:hAnsi="Times New Roman"/>
          <w:sz w:val="24"/>
          <w:szCs w:val="24"/>
          <w:lang w:val="en-US"/>
        </w:rPr>
        <w:t>, Patterns of response to the extreme right in Western Europe, In Right Wing Extremism in the Twenty-First Century, ed. PII Merkl, L Weinberg, 2003, pp. 272-92. London: Cass</w:t>
      </w:r>
    </w:p>
    <w:p w:rsidR="00ED7740" w:rsidRPr="00942C61" w:rsidRDefault="00ED7740" w:rsidP="00740A9D">
      <w:pPr>
        <w:rPr>
          <w:lang w:val="en-US"/>
        </w:rPr>
      </w:pPr>
    </w:p>
    <w:p w:rsidR="00ED7740" w:rsidRPr="00DC30B9" w:rsidRDefault="00ED7740" w:rsidP="00740A9D">
      <w:pPr>
        <w:rPr>
          <w:lang w:val="en-US"/>
        </w:rPr>
      </w:pPr>
    </w:p>
    <w:p w:rsidR="00ED7740" w:rsidRDefault="00ED7740" w:rsidP="00740A9D">
      <w:pPr>
        <w:spacing w:line="360" w:lineRule="auto"/>
        <w:jc w:val="both"/>
        <w:rPr>
          <w:lang w:val="en-US"/>
        </w:rPr>
      </w:pPr>
    </w:p>
    <w:p w:rsidR="00ED7740" w:rsidRDefault="00ED7740" w:rsidP="00740A9D">
      <w:pPr>
        <w:spacing w:line="360" w:lineRule="auto"/>
        <w:jc w:val="both"/>
        <w:rPr>
          <w:rFonts w:ascii="Times New Roman" w:hAnsi="Times New Roman"/>
          <w:b/>
          <w:sz w:val="24"/>
          <w:szCs w:val="24"/>
          <w:lang w:val="en-US"/>
        </w:rPr>
      </w:pPr>
    </w:p>
    <w:p w:rsidR="00ED7740" w:rsidRDefault="00ED7740" w:rsidP="00740A9D">
      <w:pPr>
        <w:spacing w:line="360" w:lineRule="auto"/>
        <w:jc w:val="both"/>
        <w:rPr>
          <w:rFonts w:ascii="Times New Roman" w:hAnsi="Times New Roman"/>
          <w:b/>
          <w:sz w:val="24"/>
          <w:szCs w:val="24"/>
          <w:lang w:val="en-US"/>
        </w:rPr>
      </w:pPr>
    </w:p>
    <w:p w:rsidR="00ED7740" w:rsidRDefault="00ED7740" w:rsidP="00740A9D">
      <w:pPr>
        <w:spacing w:line="360" w:lineRule="auto"/>
        <w:jc w:val="both"/>
        <w:rPr>
          <w:rFonts w:ascii="Times New Roman" w:hAnsi="Times New Roman"/>
          <w:b/>
          <w:sz w:val="24"/>
          <w:szCs w:val="24"/>
          <w:lang w:val="en-US"/>
        </w:rPr>
      </w:pPr>
    </w:p>
    <w:p w:rsidR="00ED7740" w:rsidRPr="00121DA4" w:rsidRDefault="00ED7740" w:rsidP="00740A9D">
      <w:pPr>
        <w:rPr>
          <w:lang w:val="en-US"/>
        </w:rPr>
      </w:pPr>
    </w:p>
    <w:p w:rsidR="00ED7740" w:rsidRDefault="00ED7740"/>
    <w:sectPr w:rsidR="00ED7740" w:rsidSect="00F760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40" w:rsidRDefault="00ED7740" w:rsidP="00740A9D">
      <w:pPr>
        <w:spacing w:after="0" w:line="240" w:lineRule="auto"/>
      </w:pPr>
      <w:r>
        <w:separator/>
      </w:r>
    </w:p>
  </w:endnote>
  <w:endnote w:type="continuationSeparator" w:id="0">
    <w:p w:rsidR="00ED7740" w:rsidRDefault="00ED7740" w:rsidP="0074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40" w:rsidRDefault="00ED7740" w:rsidP="00740A9D">
      <w:pPr>
        <w:spacing w:after="0" w:line="240" w:lineRule="auto"/>
      </w:pPr>
      <w:r>
        <w:separator/>
      </w:r>
    </w:p>
  </w:footnote>
  <w:footnote w:type="continuationSeparator" w:id="0">
    <w:p w:rsidR="00ED7740" w:rsidRDefault="00ED7740" w:rsidP="00740A9D">
      <w:pPr>
        <w:spacing w:after="0" w:line="240" w:lineRule="auto"/>
      </w:pPr>
      <w:r>
        <w:continuationSeparator/>
      </w:r>
    </w:p>
  </w:footnote>
  <w:footnote w:id="1">
    <w:p w:rsidR="00ED7740" w:rsidRDefault="00ED7740" w:rsidP="00740A9D">
      <w:pPr>
        <w:pStyle w:val="FootnoteText"/>
      </w:pPr>
      <w:r w:rsidRPr="00E76886">
        <w:rPr>
          <w:rStyle w:val="FootnoteReference"/>
          <w:rFonts w:ascii="Times New Roman" w:hAnsi="Times New Roman"/>
        </w:rPr>
        <w:footnoteRef/>
      </w:r>
      <w:r w:rsidRPr="00E76886">
        <w:rPr>
          <w:rFonts w:ascii="Times New Roman" w:hAnsi="Times New Roman"/>
          <w:lang w:val="en-US"/>
        </w:rPr>
        <w:t xml:space="preserve"> Stefan Rummens, Koen Abts, Defending democracy : The concentric containment of political extremism, Political Studies, 2010, vol. 58, pp. 649-665. </w:t>
      </w:r>
    </w:p>
  </w:footnote>
  <w:footnote w:id="2">
    <w:p w:rsidR="00ED7740" w:rsidRDefault="00ED7740" w:rsidP="00740A9D">
      <w:pPr>
        <w:pStyle w:val="FootnoteText"/>
      </w:pPr>
      <w:r w:rsidRPr="00E76886">
        <w:rPr>
          <w:rStyle w:val="FootnoteReference"/>
          <w:rFonts w:ascii="Times New Roman" w:hAnsi="Times New Roman"/>
        </w:rPr>
        <w:footnoteRef/>
      </w:r>
      <w:r w:rsidRPr="00E76886">
        <w:rPr>
          <w:rFonts w:ascii="Times New Roman" w:hAnsi="Times New Roman"/>
          <w:lang w:val="en-US"/>
        </w:rPr>
        <w:t xml:space="preserve"> Giovanni Cappocia, Militant Democracy, The institutional bases of democratic self – preservation, Annu. Rev. Law. Soc. Sci. 2013. 9 : 207-26 </w:t>
      </w:r>
    </w:p>
  </w:footnote>
  <w:footnote w:id="3">
    <w:p w:rsidR="00ED7740" w:rsidRDefault="00ED7740" w:rsidP="00740A9D">
      <w:pPr>
        <w:pStyle w:val="FootnoteText"/>
      </w:pPr>
      <w:r w:rsidRPr="005C16A6">
        <w:rPr>
          <w:rStyle w:val="FootnoteReference"/>
          <w:rFonts w:ascii="Times New Roman" w:hAnsi="Times New Roman"/>
        </w:rPr>
        <w:footnoteRef/>
      </w:r>
      <w:r w:rsidRPr="005C16A6">
        <w:rPr>
          <w:rFonts w:ascii="Times New Roman" w:hAnsi="Times New Roman"/>
          <w:lang w:val="en-US"/>
        </w:rPr>
        <w:t xml:space="preserve"> John Kean, A murder in Europe, The conversation, 20 September 2013, consulted on </w:t>
      </w:r>
      <w:hyperlink r:id="rId1" w:history="1">
        <w:r w:rsidRPr="005C16A6">
          <w:rPr>
            <w:rStyle w:val="Hyperlink"/>
            <w:rFonts w:ascii="Times New Roman" w:hAnsi="Times New Roman"/>
            <w:lang w:val="en-US"/>
          </w:rPr>
          <w:t>http://theconversation.com/a-murder-in-europe-18494</w:t>
        </w:r>
      </w:hyperlink>
    </w:p>
  </w:footnote>
  <w:footnote w:id="4">
    <w:p w:rsidR="00ED7740" w:rsidRDefault="00ED7740" w:rsidP="00740A9D">
      <w:pPr>
        <w:pStyle w:val="FootnoteText"/>
      </w:pPr>
      <w:r w:rsidRPr="005C16A6">
        <w:rPr>
          <w:rStyle w:val="FootnoteReference"/>
          <w:rFonts w:ascii="Times New Roman" w:hAnsi="Times New Roman"/>
        </w:rPr>
        <w:footnoteRef/>
      </w:r>
      <w:r w:rsidRPr="005C16A6">
        <w:rPr>
          <w:rFonts w:ascii="Times New Roman" w:hAnsi="Times New Roman"/>
          <w:lang w:val="en-US"/>
        </w:rPr>
        <w:t xml:space="preserve"> Karl Loewenstein, ‘Militant Democracy and Fundamental Rights, I and II, American Political Social Review, </w:t>
      </w:r>
      <w:r>
        <w:rPr>
          <w:rFonts w:ascii="Times New Roman" w:hAnsi="Times New Roman"/>
          <w:lang w:val="en-US"/>
        </w:rPr>
        <w:t xml:space="preserve">1937, </w:t>
      </w:r>
      <w:r w:rsidRPr="005C16A6">
        <w:rPr>
          <w:rFonts w:ascii="Times New Roman" w:hAnsi="Times New Roman"/>
          <w:lang w:val="en-US"/>
        </w:rPr>
        <w:t xml:space="preserve">31, (3), 417-32, 31 (4), 638-58. </w:t>
      </w:r>
    </w:p>
  </w:footnote>
  <w:footnote w:id="5">
    <w:p w:rsidR="00ED7740" w:rsidRDefault="00ED7740" w:rsidP="00740A9D">
      <w:pPr>
        <w:pStyle w:val="FootnoteText"/>
      </w:pPr>
      <w:r w:rsidRPr="005C16A6">
        <w:rPr>
          <w:rStyle w:val="FootnoteReference"/>
          <w:rFonts w:ascii="Times New Roman" w:hAnsi="Times New Roman"/>
        </w:rPr>
        <w:footnoteRef/>
      </w:r>
      <w:r w:rsidRPr="005C16A6">
        <w:rPr>
          <w:rFonts w:ascii="Times New Roman" w:hAnsi="Times New Roman"/>
          <w:lang w:val="en-US"/>
        </w:rPr>
        <w:t xml:space="preserve"> Van Donselaar, J., J.van Donselaar, De staat paraat?</w:t>
      </w:r>
      <w:r>
        <w:rPr>
          <w:rFonts w:ascii="Times New Roman" w:hAnsi="Times New Roman"/>
          <w:lang w:val="en-US"/>
        </w:rPr>
        <w:t xml:space="preserve"> </w:t>
      </w:r>
      <w:r w:rsidRPr="005C16A6">
        <w:rPr>
          <w:rFonts w:ascii="Times New Roman" w:hAnsi="Times New Roman"/>
          <w:lang w:val="en-US"/>
        </w:rPr>
        <w:t>: De bestrijding van</w:t>
      </w:r>
      <w:r>
        <w:rPr>
          <w:rFonts w:ascii="Times New Roman" w:hAnsi="Times New Roman"/>
          <w:lang w:val="en-US"/>
        </w:rPr>
        <w:t xml:space="preserve"> extreem-rechts in West </w:t>
      </w:r>
      <w:r w:rsidRPr="001C38CA">
        <w:rPr>
          <w:rFonts w:ascii="Times New Roman" w:hAnsi="Times New Roman"/>
          <w:lang w:val="en-US"/>
        </w:rPr>
        <w:t xml:space="preserve">Europa, Amsterdam, Babylon de Geus Bakker, 1995. </w:t>
      </w:r>
    </w:p>
  </w:footnote>
  <w:footnote w:id="6">
    <w:p w:rsidR="00ED7740" w:rsidRDefault="00ED7740" w:rsidP="00740A9D">
      <w:pPr>
        <w:pStyle w:val="FootnoteText"/>
      </w:pPr>
      <w:r w:rsidRPr="001C38CA">
        <w:rPr>
          <w:rStyle w:val="FootnoteReference"/>
          <w:rFonts w:ascii="Times New Roman" w:hAnsi="Times New Roman"/>
        </w:rPr>
        <w:footnoteRef/>
      </w:r>
      <w:r w:rsidRPr="001C38CA">
        <w:rPr>
          <w:rFonts w:ascii="Times New Roman" w:hAnsi="Times New Roman"/>
          <w:lang w:val="en-US"/>
        </w:rPr>
        <w:t xml:space="preserve"> Tim Bale, Are bans on political parties bound to turn out badly? Comparative European Politics, 2007, volume 5(2), 141-157. </w:t>
      </w:r>
    </w:p>
  </w:footnote>
  <w:footnote w:id="7">
    <w:p w:rsidR="00ED7740" w:rsidRDefault="00ED7740" w:rsidP="00740A9D">
      <w:pPr>
        <w:pStyle w:val="FootnoteText"/>
      </w:pPr>
      <w:r w:rsidRPr="001C38CA">
        <w:rPr>
          <w:rStyle w:val="FootnoteReference"/>
          <w:rFonts w:ascii="Times New Roman" w:hAnsi="Times New Roman"/>
        </w:rPr>
        <w:footnoteRef/>
      </w:r>
      <w:r w:rsidRPr="001C38CA">
        <w:rPr>
          <w:rFonts w:ascii="Times New Roman" w:hAnsi="Times New Roman"/>
          <w:lang w:val="en-US"/>
        </w:rPr>
        <w:t xml:space="preserve"> </w:t>
      </w:r>
      <w:r w:rsidRPr="00012D44">
        <w:rPr>
          <w:rFonts w:ascii="Times New Roman" w:hAnsi="Times New Roman"/>
          <w:lang w:val="en-US"/>
        </w:rPr>
        <w:t xml:space="preserve">David Art, Reacting to the Radical Right: Lessons from Germany and Austria, Party Politics 2007, volume 13 (3), 331-49. </w:t>
      </w:r>
    </w:p>
  </w:footnote>
  <w:footnote w:id="8">
    <w:p w:rsidR="00ED7740" w:rsidRDefault="00ED7740" w:rsidP="00740A9D">
      <w:pPr>
        <w:pStyle w:val="FootnoteText"/>
      </w:pPr>
      <w:r w:rsidRPr="00012D44">
        <w:rPr>
          <w:rStyle w:val="FootnoteReference"/>
          <w:rFonts w:ascii="Times New Roman" w:hAnsi="Times New Roman"/>
        </w:rPr>
        <w:footnoteRef/>
      </w:r>
      <w:r w:rsidRPr="00012D44">
        <w:rPr>
          <w:rFonts w:ascii="Times New Roman" w:hAnsi="Times New Roman"/>
          <w:lang w:val="en-US"/>
        </w:rPr>
        <w:t xml:space="preserve"> Michael Minkenberg, Repression and Reaction : Militant democracy and the radical right in Germany and France, Patterns of Prejudice, 40 volume 1, pp. 25-44. </w:t>
      </w:r>
    </w:p>
  </w:footnote>
  <w:footnote w:id="9">
    <w:p w:rsidR="00ED7740" w:rsidRDefault="00ED7740" w:rsidP="00740A9D">
      <w:pPr>
        <w:pStyle w:val="FootnoteText"/>
        <w:rPr>
          <w:rFonts w:ascii="Times New Roman" w:hAnsi="Times New Roman"/>
          <w:lang w:val="en-US"/>
        </w:rPr>
      </w:pPr>
      <w:r w:rsidRPr="002F47AC">
        <w:rPr>
          <w:rStyle w:val="FootnoteReference"/>
          <w:rFonts w:ascii="Times New Roman" w:hAnsi="Times New Roman"/>
        </w:rPr>
        <w:footnoteRef/>
      </w:r>
      <w:r w:rsidRPr="002F47AC">
        <w:rPr>
          <w:rFonts w:ascii="Times New Roman" w:hAnsi="Times New Roman"/>
          <w:lang w:val="en-US"/>
        </w:rPr>
        <w:t xml:space="preserve"> Giovanni Capoccia, Defending democracy: reactions to extremism in interwar Europe, European Journal of Political Research, 2001, </w:t>
      </w:r>
      <w:r>
        <w:rPr>
          <w:rFonts w:ascii="Times New Roman" w:hAnsi="Times New Roman"/>
          <w:lang w:val="en-US"/>
        </w:rPr>
        <w:t xml:space="preserve">39, volume 4, pp. 431-60. </w:t>
      </w:r>
    </w:p>
    <w:p w:rsidR="00ED7740" w:rsidRDefault="00ED7740" w:rsidP="00740A9D">
      <w:pPr>
        <w:pStyle w:val="FootnoteText"/>
      </w:pPr>
      <w:r w:rsidRPr="00825303">
        <w:rPr>
          <w:rFonts w:ascii="Times New Roman" w:hAnsi="Times New Roman"/>
          <w:lang w:val="en-US"/>
        </w:rPr>
        <w:t xml:space="preserve">Giovanni Capoccia, Defending democracy: Reactions to extremism in interwar Europe, Baltimore MD: John Hopkins University Press. </w:t>
      </w:r>
    </w:p>
  </w:footnote>
  <w:footnote w:id="10">
    <w:p w:rsidR="00ED7740" w:rsidRDefault="00ED7740" w:rsidP="00740A9D">
      <w:pPr>
        <w:pStyle w:val="FootnoteText"/>
      </w:pPr>
      <w:r w:rsidRPr="00825303">
        <w:rPr>
          <w:rStyle w:val="FootnoteReference"/>
          <w:rFonts w:ascii="Times New Roman" w:hAnsi="Times New Roman"/>
        </w:rPr>
        <w:footnoteRef/>
      </w:r>
      <w:r w:rsidRPr="00825303">
        <w:rPr>
          <w:rFonts w:ascii="Times New Roman" w:hAnsi="Times New Roman"/>
          <w:lang w:val="en-US"/>
        </w:rPr>
        <w:t xml:space="preserve"> Otto</w:t>
      </w:r>
      <w:r>
        <w:rPr>
          <w:rFonts w:ascii="Times New Roman" w:hAnsi="Times New Roman"/>
          <w:lang w:val="en-US"/>
        </w:rPr>
        <w:t xml:space="preserve"> Kirchheimer, Political Justice</w:t>
      </w:r>
      <w:r w:rsidRPr="00825303">
        <w:rPr>
          <w:rFonts w:ascii="Times New Roman" w:hAnsi="Times New Roman"/>
          <w:lang w:val="en-US"/>
        </w:rPr>
        <w:t>: The use of legal procedures fo</w:t>
      </w:r>
      <w:r>
        <w:rPr>
          <w:rFonts w:ascii="Times New Roman" w:hAnsi="Times New Roman"/>
          <w:lang w:val="en-US"/>
        </w:rPr>
        <w:t>r political ends, Princeton, NJ</w:t>
      </w:r>
      <w:r w:rsidRPr="00825303">
        <w:rPr>
          <w:rFonts w:ascii="Times New Roman" w:hAnsi="Times New Roman"/>
          <w:lang w:val="en-US"/>
        </w:rPr>
        <w:t>: Princeton University Press, 1961</w:t>
      </w:r>
      <w:r>
        <w:rPr>
          <w:rFonts w:ascii="Times New Roman" w:hAnsi="Times New Roman"/>
          <w:lang w:val="en-US"/>
        </w:rPr>
        <w:t>.</w:t>
      </w:r>
    </w:p>
  </w:footnote>
  <w:footnote w:id="11">
    <w:p w:rsidR="00ED7740" w:rsidRDefault="00ED7740" w:rsidP="00740A9D">
      <w:pPr>
        <w:pStyle w:val="FootnoteText"/>
      </w:pPr>
      <w:r w:rsidRPr="00825303">
        <w:rPr>
          <w:rStyle w:val="FootnoteReference"/>
          <w:rFonts w:ascii="Times New Roman" w:hAnsi="Times New Roman"/>
        </w:rPr>
        <w:footnoteRef/>
      </w:r>
      <w:r w:rsidRPr="00825303">
        <w:rPr>
          <w:rFonts w:ascii="Times New Roman" w:hAnsi="Times New Roman"/>
          <w:lang w:val="en-US"/>
        </w:rPr>
        <w:t xml:space="preserve"> Martin Klamt, Militant democracy and the democratic dilemma: different ways of protecting democratic constitutions, In Explorations in legal cultures</w:t>
      </w:r>
      <w:r>
        <w:rPr>
          <w:rFonts w:ascii="Times New Roman" w:hAnsi="Times New Roman"/>
          <w:lang w:val="en-US"/>
        </w:rPr>
        <w:t xml:space="preserve">, ed. F. Bruinsma, D Nelken, pp. 133-59. The </w:t>
      </w:r>
      <w:r w:rsidRPr="001E299A">
        <w:rPr>
          <w:rFonts w:ascii="Times New Roman" w:hAnsi="Times New Roman"/>
          <w:lang w:val="en-US"/>
        </w:rPr>
        <w:t xml:space="preserve">Hague, Neth.: Elsevier </w:t>
      </w:r>
    </w:p>
  </w:footnote>
  <w:footnote w:id="12">
    <w:p w:rsidR="00ED7740" w:rsidRDefault="00ED7740" w:rsidP="00740A9D">
      <w:pPr>
        <w:pStyle w:val="FootnoteText"/>
      </w:pPr>
      <w:r w:rsidRPr="00C7746B">
        <w:rPr>
          <w:rStyle w:val="FootnoteReference"/>
          <w:rFonts w:ascii="Times New Roman" w:hAnsi="Times New Roman"/>
        </w:rPr>
        <w:footnoteRef/>
      </w:r>
      <w:r w:rsidRPr="00C7746B">
        <w:rPr>
          <w:rFonts w:ascii="Times New Roman" w:hAnsi="Times New Roman"/>
          <w:lang w:val="en-US"/>
        </w:rPr>
        <w:t xml:space="preserve"> Van Donselaar J. 2003, Patterns of response to the extreme right in Western Europe</w:t>
      </w:r>
      <w:r>
        <w:rPr>
          <w:rFonts w:ascii="Times New Roman" w:hAnsi="Times New Roman"/>
          <w:lang w:val="en-US"/>
        </w:rPr>
        <w:t xml:space="preserve">, In Right Wing Extremism in the Twenty-First Century, ed. PII Merkl, L Weinberg, pp. 272-92. London : Cass </w:t>
      </w:r>
    </w:p>
  </w:footnote>
  <w:footnote w:id="13">
    <w:p w:rsidR="00ED7740" w:rsidRDefault="00ED7740" w:rsidP="00740A9D">
      <w:pPr>
        <w:pStyle w:val="FootnoteText"/>
      </w:pPr>
      <w:r w:rsidRPr="001E299A">
        <w:rPr>
          <w:rStyle w:val="FootnoteReference"/>
          <w:rFonts w:ascii="Times New Roman" w:hAnsi="Times New Roman"/>
        </w:rPr>
        <w:footnoteRef/>
      </w:r>
      <w:r w:rsidRPr="001E299A">
        <w:rPr>
          <w:rFonts w:ascii="Times New Roman" w:hAnsi="Times New Roman"/>
          <w:lang w:val="en-US"/>
        </w:rPr>
        <w:t xml:space="preserve"> FRA report 2012, The European Union as a Community of values: safeguarding fundamental rights in times of crisis, consulted on </w:t>
      </w:r>
      <w:hyperlink r:id="rId2" w:history="1">
        <w:r w:rsidRPr="001E299A">
          <w:rPr>
            <w:rStyle w:val="Hyperlink"/>
            <w:rFonts w:ascii="Times New Roman" w:hAnsi="Times New Roman"/>
            <w:lang w:val="en-US"/>
          </w:rPr>
          <w:t>http://fra.europa.eu/sites/default/files/annual-report-2012-focus_en.pdf</w:t>
        </w:r>
      </w:hyperlink>
    </w:p>
  </w:footnote>
  <w:footnote w:id="14">
    <w:p w:rsidR="00ED7740" w:rsidRDefault="00ED7740" w:rsidP="00740A9D">
      <w:pPr>
        <w:pStyle w:val="FootnoteText"/>
      </w:pPr>
      <w:r w:rsidRPr="001C1F02">
        <w:rPr>
          <w:rStyle w:val="FootnoteReference"/>
          <w:rFonts w:ascii="Times New Roman" w:hAnsi="Times New Roman"/>
        </w:rPr>
        <w:footnoteRef/>
      </w:r>
      <w:r w:rsidRPr="001C1F02">
        <w:rPr>
          <w:rFonts w:ascii="Times New Roman" w:hAnsi="Times New Roman"/>
          <w:lang w:val="en-US"/>
        </w:rPr>
        <w:t xml:space="preserve"> </w:t>
      </w:r>
      <w:r w:rsidRPr="001C1F02">
        <w:rPr>
          <w:rFonts w:ascii="Times New Roman" w:hAnsi="Times New Roman"/>
          <w:i/>
          <w:lang w:val="en-US"/>
        </w:rPr>
        <w:t>Ibid.,</w:t>
      </w:r>
      <w:r w:rsidRPr="001C1F02">
        <w:rPr>
          <w:rFonts w:ascii="Times New Roman" w:hAnsi="Times New Roman"/>
          <w:lang w:val="en-US"/>
        </w:rPr>
        <w:t>p. 4.</w:t>
      </w:r>
      <w:r w:rsidRPr="001C1F02">
        <w:rPr>
          <w:rStyle w:val="FootnoteReference"/>
          <w:rFonts w:ascii="Times New Roman" w:hAnsi="Times New Roman"/>
          <w:lang w:val="en-US"/>
        </w:rPr>
        <w:t xml:space="preserve"> </w:t>
      </w:r>
    </w:p>
  </w:footnote>
  <w:footnote w:id="15">
    <w:p w:rsidR="00ED7740" w:rsidRDefault="00ED7740" w:rsidP="00740A9D">
      <w:pPr>
        <w:pStyle w:val="FootnoteText"/>
      </w:pPr>
      <w:r w:rsidRPr="001C1F02">
        <w:rPr>
          <w:rStyle w:val="FootnoteReference"/>
          <w:rFonts w:ascii="Times New Roman" w:hAnsi="Times New Roman"/>
        </w:rPr>
        <w:footnoteRef/>
      </w:r>
      <w:r w:rsidRPr="001C1F02">
        <w:rPr>
          <w:rFonts w:ascii="Times New Roman" w:hAnsi="Times New Roman"/>
          <w:lang w:val="en-US"/>
        </w:rPr>
        <w:t xml:space="preserve"> R. L. Buhr, « Supranationalism vs. The nation: Effects of European Union integration on radical right party fortunes », UMI dissertation publishing, University of Wisconsin-Madison, 2008, p. 57.</w:t>
      </w:r>
    </w:p>
  </w:footnote>
  <w:footnote w:id="16">
    <w:p w:rsidR="00ED7740" w:rsidRDefault="00ED7740" w:rsidP="00740A9D">
      <w:pPr>
        <w:pStyle w:val="FootnoteText"/>
      </w:pPr>
      <w:r w:rsidRPr="001C1F02">
        <w:rPr>
          <w:rStyle w:val="FootnoteReference"/>
          <w:rFonts w:ascii="Times New Roman" w:hAnsi="Times New Roman"/>
        </w:rPr>
        <w:footnoteRef/>
      </w:r>
      <w:r w:rsidRPr="001C1F02">
        <w:rPr>
          <w:rFonts w:ascii="Times New Roman" w:hAnsi="Times New Roman"/>
        </w:rPr>
        <w:t xml:space="preserve"> P. Perrineau, Le choix de Marianne : Pourquoi, Pour qui votons nous ?, Fayard, Paris, 2012, pp. 159-160.</w:t>
      </w:r>
    </w:p>
  </w:footnote>
  <w:footnote w:id="17">
    <w:p w:rsidR="00ED7740" w:rsidRDefault="00ED7740" w:rsidP="00740A9D">
      <w:pPr>
        <w:pStyle w:val="FootnoteText"/>
      </w:pPr>
      <w:r w:rsidRPr="00045C4C">
        <w:rPr>
          <w:rStyle w:val="FootnoteReference"/>
          <w:rFonts w:ascii="Times New Roman" w:hAnsi="Times New Roman"/>
        </w:rPr>
        <w:footnoteRef/>
      </w:r>
      <w:r w:rsidRPr="00DC44DA">
        <w:rPr>
          <w:rFonts w:ascii="Times New Roman" w:hAnsi="Times New Roman"/>
          <w:lang w:val="en-US"/>
        </w:rPr>
        <w:t xml:space="preserve"> BVerfG, 2 BvE 11/12 vom 20.2.2013</w:t>
      </w:r>
    </w:p>
  </w:footnote>
  <w:footnote w:id="18">
    <w:p w:rsidR="00ED7740" w:rsidRDefault="00ED7740" w:rsidP="00740A9D">
      <w:pPr>
        <w:pStyle w:val="FootnoteText"/>
      </w:pPr>
      <w:r w:rsidRPr="00E73217">
        <w:rPr>
          <w:rStyle w:val="FootnoteReference"/>
          <w:rFonts w:ascii="Times New Roman" w:hAnsi="Times New Roman"/>
        </w:rPr>
        <w:footnoteRef/>
      </w:r>
      <w:r w:rsidRPr="00E73217">
        <w:rPr>
          <w:rFonts w:ascii="Times New Roman" w:hAnsi="Times New Roman"/>
          <w:lang w:val="en-US"/>
        </w:rPr>
        <w:t xml:space="preserve"> G. Capoccia, Militant Democracy: The Institutional Bases of Democratic self – preservation, </w:t>
      </w:r>
      <w:r w:rsidRPr="00E73217">
        <w:rPr>
          <w:rFonts w:ascii="Times New Roman" w:hAnsi="Times New Roman"/>
          <w:i/>
          <w:lang w:val="en-US"/>
        </w:rPr>
        <w:t>op. cit</w:t>
      </w:r>
      <w:r w:rsidRPr="00E73217">
        <w:rPr>
          <w:rFonts w:ascii="Times New Roman" w:hAnsi="Times New Roman"/>
          <w:lang w:val="en-US"/>
        </w:rPr>
        <w:t xml:space="preserve">, p. 220. </w:t>
      </w:r>
    </w:p>
  </w:footnote>
  <w:footnote w:id="19">
    <w:p w:rsidR="00ED7740" w:rsidRDefault="00ED7740" w:rsidP="00740A9D">
      <w:pPr>
        <w:pStyle w:val="FootnoteText"/>
        <w:rPr>
          <w:rFonts w:ascii="Times New Roman" w:hAnsi="Times New Roman"/>
          <w:lang w:val="en-US"/>
        </w:rPr>
      </w:pPr>
      <w:r w:rsidRPr="00051124">
        <w:rPr>
          <w:rStyle w:val="FootnoteReference"/>
          <w:rFonts w:ascii="Times New Roman" w:hAnsi="Times New Roman"/>
        </w:rPr>
        <w:footnoteRef/>
      </w:r>
      <w:r w:rsidRPr="00051124">
        <w:rPr>
          <w:rFonts w:ascii="Times New Roman" w:hAnsi="Times New Roman"/>
          <w:lang w:val="en-US"/>
        </w:rPr>
        <w:t xml:space="preserve"> Human Right Watch, ‘Hungary: Constitutional Change Falls Short - </w:t>
      </w:r>
      <w:r w:rsidRPr="00051124">
        <w:rPr>
          <w:rFonts w:ascii="Times New Roman" w:hAnsi="Times New Roman"/>
          <w:color w:val="42210B"/>
          <w:shd w:val="clear" w:color="auto" w:fill="FFFFFF"/>
          <w:lang w:val="en-US"/>
        </w:rPr>
        <w:t xml:space="preserve">Europe Should Act on its Rule of Law Concerns’, Press Release, 18 September 2013 consulted on </w:t>
      </w:r>
      <w:hyperlink r:id="rId3" w:history="1">
        <w:r w:rsidRPr="00175E72">
          <w:rPr>
            <w:rStyle w:val="Hyperlink"/>
            <w:rFonts w:ascii="Times New Roman" w:hAnsi="Times New Roman"/>
            <w:shd w:val="clear" w:color="auto" w:fill="FFFFFF"/>
            <w:lang w:val="en-US"/>
          </w:rPr>
          <w:t>http://www.hrw.org/news/2013/09/18/hungary-constitutional-change-falls-short</w:t>
        </w:r>
      </w:hyperlink>
    </w:p>
    <w:p w:rsidR="00ED7740" w:rsidRDefault="00ED7740" w:rsidP="00740A9D">
      <w:pPr>
        <w:pStyle w:val="FootnoteText"/>
      </w:pPr>
    </w:p>
  </w:footnote>
  <w:footnote w:id="20">
    <w:p w:rsidR="00ED7740" w:rsidRDefault="00ED7740" w:rsidP="00740A9D">
      <w:pPr>
        <w:pStyle w:val="FootnoteText"/>
      </w:pPr>
      <w:r w:rsidRPr="00B212BF">
        <w:rPr>
          <w:rStyle w:val="FootnoteReference"/>
          <w:rFonts w:ascii="Times New Roman" w:hAnsi="Times New Roman"/>
        </w:rPr>
        <w:footnoteRef/>
      </w:r>
      <w:r w:rsidRPr="00B212BF">
        <w:rPr>
          <w:rFonts w:ascii="Times New Roman" w:hAnsi="Times New Roman"/>
          <w:lang w:val="en-US"/>
        </w:rPr>
        <w:t xml:space="preserve"> Peter Hall, </w:t>
      </w:r>
      <w:r>
        <w:rPr>
          <w:rFonts w:ascii="Times New Roman" w:hAnsi="Times New Roman"/>
          <w:color w:val="282828"/>
          <w:shd w:val="clear" w:color="auto" w:fill="FFFFFF"/>
          <w:lang w:val="en-US"/>
        </w:rPr>
        <w:t>‘</w:t>
      </w:r>
      <w:r w:rsidRPr="00B212BF">
        <w:rPr>
          <w:rFonts w:ascii="Times New Roman" w:hAnsi="Times New Roman"/>
          <w:color w:val="282828"/>
          <w:shd w:val="clear" w:color="auto" w:fill="FFFFFF"/>
          <w:lang w:val="en-US"/>
        </w:rPr>
        <w:t>Aligning Ontology and Methodology in Comparative Research</w:t>
      </w:r>
      <w:r>
        <w:rPr>
          <w:rFonts w:ascii="Times New Roman" w:hAnsi="Times New Roman"/>
          <w:color w:val="282828"/>
          <w:shd w:val="clear" w:color="auto" w:fill="FFFFFF"/>
          <w:lang w:val="en-US"/>
        </w:rPr>
        <w:t xml:space="preserve">’, 2003, </w:t>
      </w:r>
      <w:r w:rsidRPr="00B212BF">
        <w:rPr>
          <w:rFonts w:ascii="Times New Roman" w:hAnsi="Times New Roman"/>
          <w:color w:val="282828"/>
          <w:shd w:val="clear" w:color="auto" w:fill="FFFFFF"/>
          <w:lang w:val="en-US"/>
        </w:rPr>
        <w:t>In: Mahoney J, Rueschemeyer D Comparative Historical A</w:t>
      </w:r>
      <w:r>
        <w:rPr>
          <w:rFonts w:ascii="Times New Roman" w:hAnsi="Times New Roman"/>
          <w:color w:val="282828"/>
          <w:shd w:val="clear" w:color="auto" w:fill="FFFFFF"/>
          <w:lang w:val="en-US"/>
        </w:rPr>
        <w:t xml:space="preserve">nalysis in the Social Sciences, </w:t>
      </w:r>
      <w:r w:rsidRPr="00B212BF">
        <w:rPr>
          <w:rFonts w:ascii="Times New Roman" w:hAnsi="Times New Roman"/>
          <w:color w:val="282828"/>
          <w:shd w:val="clear" w:color="auto" w:fill="FFFFFF"/>
          <w:lang w:val="en-US"/>
        </w:rPr>
        <w:t>Cambridge, UK and New York: Cambridge University Press; Ch. 11.</w:t>
      </w:r>
    </w:p>
  </w:footnote>
  <w:footnote w:id="21">
    <w:p w:rsidR="00ED7740" w:rsidRDefault="00ED7740" w:rsidP="00740A9D">
      <w:pPr>
        <w:pStyle w:val="FootnoteText"/>
      </w:pPr>
      <w:r w:rsidRPr="00DA65DE">
        <w:rPr>
          <w:rStyle w:val="FootnoteReference"/>
          <w:rFonts w:ascii="Times New Roman" w:hAnsi="Times New Roman"/>
        </w:rPr>
        <w:footnoteRef/>
      </w:r>
      <w:r w:rsidRPr="00DA65DE">
        <w:rPr>
          <w:rFonts w:ascii="Times New Roman" w:hAnsi="Times New Roman"/>
          <w:lang w:val="en-US"/>
        </w:rPr>
        <w:t xml:space="preserve"> Euro barometer 69, ‘Values of Europeans’, Publication October 2008 assessed on http://ec.europa.eu/public_opinion/archives/eb/eb69/eb69_values_en.pdf</w:t>
      </w:r>
    </w:p>
  </w:footnote>
  <w:footnote w:id="22">
    <w:p w:rsidR="00ED7740" w:rsidRPr="008B17A6" w:rsidRDefault="00ED7740" w:rsidP="00740A9D">
      <w:pPr>
        <w:pStyle w:val="FootnoteText"/>
        <w:rPr>
          <w:rFonts w:ascii="Times New Roman" w:hAnsi="Times New Roman"/>
          <w:lang w:val="en-US"/>
        </w:rPr>
      </w:pPr>
      <w:r w:rsidRPr="008B17A6">
        <w:rPr>
          <w:rStyle w:val="FootnoteReference"/>
          <w:rFonts w:ascii="Times New Roman" w:hAnsi="Times New Roman"/>
        </w:rPr>
        <w:footnoteRef/>
      </w:r>
      <w:r w:rsidRPr="008B17A6">
        <w:rPr>
          <w:rFonts w:ascii="Times New Roman" w:hAnsi="Times New Roman"/>
          <w:lang w:val="en-US"/>
        </w:rPr>
        <w:t xml:space="preserve"> FRA Report 2013, ‘Racism, discrimination, intolerance and extremism: Learning from experiences in Greece and Hungary’ assessed on </w:t>
      </w:r>
      <w:hyperlink r:id="rId4" w:history="1">
        <w:r w:rsidRPr="008B17A6">
          <w:rPr>
            <w:rStyle w:val="Hyperlink"/>
            <w:rFonts w:ascii="Times New Roman" w:hAnsi="Times New Roman"/>
            <w:lang w:val="en-US"/>
          </w:rPr>
          <w:t>http://fra.europa.eu/sites/default/files/fra-2013-thematic-situation-report-3_en_1.pdf</w:t>
        </w:r>
      </w:hyperlink>
    </w:p>
    <w:p w:rsidR="00ED7740" w:rsidRDefault="00ED7740" w:rsidP="00740A9D">
      <w:pPr>
        <w:pStyle w:val="FootnoteText"/>
      </w:pPr>
    </w:p>
  </w:footnote>
  <w:footnote w:id="23">
    <w:p w:rsidR="00ED7740" w:rsidRDefault="00ED7740" w:rsidP="00740A9D">
      <w:pPr>
        <w:pStyle w:val="FootnoteText"/>
      </w:pPr>
      <w:r>
        <w:rPr>
          <w:rStyle w:val="FootnoteReference"/>
        </w:rPr>
        <w:footnoteRef/>
      </w:r>
      <w:r w:rsidRPr="00A740AB">
        <w:rPr>
          <w:lang w:val="en-US"/>
        </w:rPr>
        <w:t xml:space="preserve"> </w:t>
      </w:r>
      <w:r w:rsidRPr="0006634C">
        <w:rPr>
          <w:rFonts w:ascii="Times New Roman" w:hAnsi="Times New Roman"/>
          <w:lang w:val="en-US"/>
        </w:rPr>
        <w:t>Bleich, Erik, ‘The Freedom to Be Racist? How the United States and Europe Struggle to Preserve Freedom and Combat Racism’, 2011, Ne</w:t>
      </w:r>
      <w:r>
        <w:rPr>
          <w:rFonts w:ascii="Times New Roman" w:hAnsi="Times New Roman"/>
          <w:lang w:val="en-US"/>
        </w:rPr>
        <w:t xml:space="preserve">w York: Oxford University Press, p. 107. </w:t>
      </w:r>
    </w:p>
  </w:footnote>
  <w:footnote w:id="24">
    <w:p w:rsidR="00ED7740" w:rsidRDefault="00ED7740" w:rsidP="00740A9D">
      <w:pPr>
        <w:pStyle w:val="FootnoteText"/>
      </w:pPr>
      <w:r w:rsidRPr="0006634C">
        <w:rPr>
          <w:rStyle w:val="FootnoteReference"/>
          <w:rFonts w:ascii="Times New Roman" w:hAnsi="Times New Roman"/>
        </w:rPr>
        <w:footnoteRef/>
      </w:r>
      <w:r>
        <w:rPr>
          <w:rFonts w:ascii="Times New Roman" w:hAnsi="Times New Roman"/>
          <w:lang w:val="en-US"/>
        </w:rPr>
        <w:t xml:space="preserve"> </w:t>
      </w:r>
      <w:r w:rsidRPr="00A740AB">
        <w:rPr>
          <w:rFonts w:ascii="Times New Roman" w:hAnsi="Times New Roman"/>
          <w:i/>
          <w:lang w:val="en-US"/>
        </w:rPr>
        <w:t>Ibid</w:t>
      </w:r>
      <w:r>
        <w:rPr>
          <w:rFonts w:ascii="Times New Roman" w:hAnsi="Times New Roman"/>
          <w:lang w:val="en-US"/>
        </w:rPr>
        <w:t xml:space="preserve">. p.128.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9D"/>
    <w:rsid w:val="00012D44"/>
    <w:rsid w:val="00045C4C"/>
    <w:rsid w:val="00051124"/>
    <w:rsid w:val="0006634C"/>
    <w:rsid w:val="00090E6D"/>
    <w:rsid w:val="00093554"/>
    <w:rsid w:val="0009611B"/>
    <w:rsid w:val="000C11FE"/>
    <w:rsid w:val="0010319F"/>
    <w:rsid w:val="00106B00"/>
    <w:rsid w:val="00106FE6"/>
    <w:rsid w:val="00121DA4"/>
    <w:rsid w:val="00136736"/>
    <w:rsid w:val="00175E72"/>
    <w:rsid w:val="00197A5D"/>
    <w:rsid w:val="001B0919"/>
    <w:rsid w:val="001C1F02"/>
    <w:rsid w:val="001C38CA"/>
    <w:rsid w:val="001E299A"/>
    <w:rsid w:val="001F1EE8"/>
    <w:rsid w:val="002325BD"/>
    <w:rsid w:val="00250081"/>
    <w:rsid w:val="002F47AC"/>
    <w:rsid w:val="003A5AE4"/>
    <w:rsid w:val="003B6D3F"/>
    <w:rsid w:val="00401BB3"/>
    <w:rsid w:val="0043209C"/>
    <w:rsid w:val="00486781"/>
    <w:rsid w:val="004A6B51"/>
    <w:rsid w:val="004B469F"/>
    <w:rsid w:val="004E009A"/>
    <w:rsid w:val="004E5D91"/>
    <w:rsid w:val="004F54AB"/>
    <w:rsid w:val="005011F1"/>
    <w:rsid w:val="00541BA3"/>
    <w:rsid w:val="005C16A6"/>
    <w:rsid w:val="005D09C5"/>
    <w:rsid w:val="005E0DA6"/>
    <w:rsid w:val="00612582"/>
    <w:rsid w:val="00621974"/>
    <w:rsid w:val="00637E9F"/>
    <w:rsid w:val="006616D6"/>
    <w:rsid w:val="00740A9D"/>
    <w:rsid w:val="007519A0"/>
    <w:rsid w:val="00771E99"/>
    <w:rsid w:val="007726A6"/>
    <w:rsid w:val="0077561D"/>
    <w:rsid w:val="00786130"/>
    <w:rsid w:val="0078771E"/>
    <w:rsid w:val="007941F4"/>
    <w:rsid w:val="007D1B1B"/>
    <w:rsid w:val="007F5036"/>
    <w:rsid w:val="00807543"/>
    <w:rsid w:val="00825303"/>
    <w:rsid w:val="00845A3C"/>
    <w:rsid w:val="008515E0"/>
    <w:rsid w:val="0088406F"/>
    <w:rsid w:val="008B17A6"/>
    <w:rsid w:val="00900280"/>
    <w:rsid w:val="00910845"/>
    <w:rsid w:val="00924627"/>
    <w:rsid w:val="00941142"/>
    <w:rsid w:val="00942C61"/>
    <w:rsid w:val="00970906"/>
    <w:rsid w:val="009848FE"/>
    <w:rsid w:val="009C1C4B"/>
    <w:rsid w:val="009F22BE"/>
    <w:rsid w:val="00A1380C"/>
    <w:rsid w:val="00A24131"/>
    <w:rsid w:val="00A347F5"/>
    <w:rsid w:val="00A740AB"/>
    <w:rsid w:val="00A83A76"/>
    <w:rsid w:val="00AA61B7"/>
    <w:rsid w:val="00AE1FF6"/>
    <w:rsid w:val="00B212BF"/>
    <w:rsid w:val="00B26FA3"/>
    <w:rsid w:val="00B430FC"/>
    <w:rsid w:val="00BB780B"/>
    <w:rsid w:val="00BC563A"/>
    <w:rsid w:val="00C7746B"/>
    <w:rsid w:val="00CB6597"/>
    <w:rsid w:val="00CC6E0F"/>
    <w:rsid w:val="00CF3E13"/>
    <w:rsid w:val="00D82150"/>
    <w:rsid w:val="00D957D6"/>
    <w:rsid w:val="00DA65DE"/>
    <w:rsid w:val="00DC30B9"/>
    <w:rsid w:val="00DC44DA"/>
    <w:rsid w:val="00DF6A90"/>
    <w:rsid w:val="00E2123D"/>
    <w:rsid w:val="00E216A5"/>
    <w:rsid w:val="00E33E5A"/>
    <w:rsid w:val="00E478C4"/>
    <w:rsid w:val="00E62A2D"/>
    <w:rsid w:val="00E73217"/>
    <w:rsid w:val="00E76886"/>
    <w:rsid w:val="00E851B1"/>
    <w:rsid w:val="00E92F14"/>
    <w:rsid w:val="00EA6BC9"/>
    <w:rsid w:val="00EA748A"/>
    <w:rsid w:val="00ED7740"/>
    <w:rsid w:val="00EE190E"/>
    <w:rsid w:val="00F4573B"/>
    <w:rsid w:val="00F760A2"/>
    <w:rsid w:val="00F93A98"/>
    <w:rsid w:val="00FA09C1"/>
    <w:rsid w:val="00FD002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40A9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0A9D"/>
    <w:rPr>
      <w:rFonts w:cs="Times New Roman"/>
      <w:sz w:val="20"/>
      <w:szCs w:val="20"/>
      <w:lang w:val="fr-FR"/>
    </w:rPr>
  </w:style>
  <w:style w:type="character" w:styleId="FootnoteReference">
    <w:name w:val="footnote reference"/>
    <w:basedOn w:val="DefaultParagraphFont"/>
    <w:uiPriority w:val="99"/>
    <w:semiHidden/>
    <w:rsid w:val="00740A9D"/>
    <w:rPr>
      <w:rFonts w:cs="Times New Roman"/>
      <w:vertAlign w:val="superscript"/>
    </w:rPr>
  </w:style>
  <w:style w:type="character" w:styleId="Hyperlink">
    <w:name w:val="Hyperlink"/>
    <w:basedOn w:val="DefaultParagraphFont"/>
    <w:uiPriority w:val="99"/>
    <w:rsid w:val="00740A9D"/>
    <w:rPr>
      <w:rFonts w:cs="Times New Roman"/>
      <w:color w:val="0000FF"/>
      <w:u w:val="single"/>
    </w:rPr>
  </w:style>
  <w:style w:type="character" w:customStyle="1" w:styleId="apple-converted-space">
    <w:name w:val="apple-converted-space"/>
    <w:basedOn w:val="DefaultParagraphFont"/>
    <w:uiPriority w:val="99"/>
    <w:rsid w:val="00740A9D"/>
    <w:rPr>
      <w:rFonts w:cs="Times New Roman"/>
    </w:rPr>
  </w:style>
  <w:style w:type="paragraph" w:styleId="NormalWeb">
    <w:name w:val="Normal (Web)"/>
    <w:basedOn w:val="Normal"/>
    <w:uiPriority w:val="99"/>
    <w:rsid w:val="00740A9D"/>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w.org/news/2013/09/18/hungary-constitutional-change-falls-short" TargetMode="External"/><Relationship Id="rId3" Type="http://schemas.openxmlformats.org/officeDocument/2006/relationships/webSettings" Target="webSettings.xml"/><Relationship Id="rId7" Type="http://schemas.openxmlformats.org/officeDocument/2006/relationships/hyperlink" Target="http://fra.europa.eu/sites/default/files/annual-report-2012-focus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e.tufts.edu/polsci/faculty/art/europeanRadicalRight.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heconversation.com/a-murder-in-europe-1849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rw.org/news/2013/09/18/hungary-constitutional-change-falls-short" TargetMode="External"/><Relationship Id="rId2" Type="http://schemas.openxmlformats.org/officeDocument/2006/relationships/hyperlink" Target="http://fra.europa.eu/sites/default/files/annual-report-2012-focus_en.pdf" TargetMode="External"/><Relationship Id="rId1" Type="http://schemas.openxmlformats.org/officeDocument/2006/relationships/hyperlink" Target="http://theconversation.com/a-murder-in-europe-18494" TargetMode="External"/><Relationship Id="rId4" Type="http://schemas.openxmlformats.org/officeDocument/2006/relationships/hyperlink" Target="http://fra.europa.eu/sites/default/files/fra-2013-thematic-situation-report-3_e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19</Pages>
  <Words>5807</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
  <dc:creator>DOCTOR</dc:creator>
  <cp:keywords/>
  <dc:description/>
  <cp:lastModifiedBy>Utilisateur Windows</cp:lastModifiedBy>
  <cp:revision>2</cp:revision>
  <dcterms:created xsi:type="dcterms:W3CDTF">2014-04-10T14:39:00Z</dcterms:created>
  <dcterms:modified xsi:type="dcterms:W3CDTF">2014-04-10T14:39:00Z</dcterms:modified>
</cp:coreProperties>
</file>